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C0D7D" w14:textId="035DE483" w:rsidR="004D21A8" w:rsidRPr="004D21A8" w:rsidRDefault="004475BD" w:rsidP="005D542D">
      <w:pPr>
        <w:pStyle w:val="H1NoNumb"/>
        <w:jc w:val="center"/>
      </w:pPr>
      <w:bookmarkStart w:id="0" w:name="_Toc304199309"/>
      <w:r>
        <w:br/>
      </w:r>
      <w:r w:rsidRPr="00C2502A">
        <w:br/>
      </w:r>
      <w:r w:rsidRPr="005D542D">
        <w:t>Meeting of the</w:t>
      </w:r>
      <w:r w:rsidR="005E1B56" w:rsidRPr="005D542D">
        <w:t xml:space="preserve"> </w:t>
      </w:r>
      <w:bookmarkEnd w:id="0"/>
      <w:r w:rsidR="00115DD8">
        <w:t xml:space="preserve">Audit, Risk and Governance Committee </w:t>
      </w:r>
      <w:r w:rsidR="00312C95">
        <w:t>(</w:t>
      </w:r>
      <w:r w:rsidR="005E1B56">
        <w:t xml:space="preserve">24 </w:t>
      </w:r>
      <w:r w:rsidR="00B70430">
        <w:t>July 2</w:t>
      </w:r>
      <w:r w:rsidR="005E1B56">
        <w:t>023)</w:t>
      </w:r>
    </w:p>
    <w:p w14:paraId="14C631E1" w14:textId="77777777" w:rsidR="00C756A1" w:rsidRDefault="00C756A1" w:rsidP="005D542D">
      <w:pPr>
        <w:jc w:val="center"/>
        <w:rPr>
          <w:b/>
          <w:szCs w:val="22"/>
        </w:rPr>
      </w:pPr>
    </w:p>
    <w:p w14:paraId="7547F4F7" w14:textId="4E1A95EF" w:rsidR="004D21A8" w:rsidRDefault="004475BD" w:rsidP="005D542D">
      <w:pPr>
        <w:pStyle w:val="BodyText"/>
        <w:jc w:val="center"/>
      </w:pPr>
      <w:r w:rsidRPr="00D50DF0">
        <w:rPr>
          <w:b/>
        </w:rPr>
        <w:t>Chair:</w:t>
      </w:r>
      <w:r>
        <w:t xml:space="preserve"> </w:t>
      </w:r>
      <w:r w:rsidR="00C2502A">
        <w:t>County Councillor Alan Schofield</w:t>
      </w:r>
    </w:p>
    <w:p w14:paraId="6CF6D39A" w14:textId="77777777" w:rsidR="005D542D" w:rsidRDefault="005D542D" w:rsidP="005D542D">
      <w:pPr>
        <w:pStyle w:val="BodyText"/>
        <w:jc w:val="center"/>
      </w:pPr>
    </w:p>
    <w:p w14:paraId="648DA635" w14:textId="77777777" w:rsidR="004D21A8" w:rsidRDefault="004D21A8" w:rsidP="005D542D">
      <w:pPr>
        <w:pStyle w:val="BodyText"/>
        <w:jc w:val="both"/>
      </w:pPr>
    </w:p>
    <w:p w14:paraId="292E3079" w14:textId="77777777" w:rsidR="004D21A8" w:rsidRDefault="004475BD" w:rsidP="005D542D">
      <w:pPr>
        <w:pStyle w:val="H2NoNumb"/>
        <w:spacing w:before="0"/>
        <w:jc w:val="both"/>
      </w:pPr>
      <w:r>
        <w:t>Part I (Open to Press and Public)</w:t>
      </w:r>
    </w:p>
    <w:p w14:paraId="22015F99" w14:textId="190BBB38" w:rsidR="00B70430" w:rsidRDefault="00B70430" w:rsidP="005D542D">
      <w:pPr>
        <w:pStyle w:val="BodyText"/>
        <w:jc w:val="both"/>
      </w:pPr>
    </w:p>
    <w:p w14:paraId="69C08A48" w14:textId="77777777" w:rsidR="00B70430" w:rsidRPr="00817DC5" w:rsidRDefault="004475BD" w:rsidP="005D542D">
      <w:pPr>
        <w:jc w:val="both"/>
        <w:rPr>
          <w:rFonts w:cs="Arial"/>
          <w:szCs w:val="22"/>
        </w:rPr>
      </w:pPr>
      <w:r>
        <w:rPr>
          <w:rFonts w:cs="Arial"/>
          <w:b/>
          <w:szCs w:val="28"/>
        </w:rPr>
        <w:t>Treasury Management Activity 2022/23</w:t>
      </w:r>
    </w:p>
    <w:p w14:paraId="721A0265" w14:textId="4497C7F9" w:rsidR="00B70430" w:rsidRDefault="00B70430" w:rsidP="005D542D">
      <w:pPr>
        <w:pStyle w:val="BodyText"/>
        <w:jc w:val="both"/>
      </w:pPr>
    </w:p>
    <w:p w14:paraId="0DDF70CE" w14:textId="37B6FC18" w:rsidR="00B70430" w:rsidRDefault="004475BD" w:rsidP="005D542D">
      <w:pPr>
        <w:pStyle w:val="BodyText"/>
        <w:jc w:val="both"/>
      </w:pPr>
      <w:r>
        <w:t>The committee considered a report presented by Mike Jensen, Director of Investment on the council's treasury management activities occurring in the financial year 2022/23 and the position at 31 March 2023.</w:t>
      </w:r>
    </w:p>
    <w:p w14:paraId="01F2089A" w14:textId="3D40B44B" w:rsidR="00B70430" w:rsidRDefault="00B70430" w:rsidP="005D542D">
      <w:pPr>
        <w:pStyle w:val="BodyText"/>
        <w:jc w:val="both"/>
      </w:pPr>
    </w:p>
    <w:p w14:paraId="2C95FE91" w14:textId="77777777" w:rsidR="00B70430" w:rsidRDefault="004475BD" w:rsidP="005D542D">
      <w:pPr>
        <w:jc w:val="both"/>
      </w:pPr>
      <w:r>
        <w:rPr>
          <w:b/>
          <w:bCs w:val="0"/>
        </w:rPr>
        <w:t xml:space="preserve">Resolved: </w:t>
      </w:r>
      <w:r>
        <w:t xml:space="preserve">That the review of treasury management </w:t>
      </w:r>
      <w:r>
        <w:t>activity 2022/23, as presented, be noted.</w:t>
      </w:r>
    </w:p>
    <w:p w14:paraId="76516B80" w14:textId="5A75C34A" w:rsidR="00B70430" w:rsidRDefault="00B70430" w:rsidP="005D542D">
      <w:pPr>
        <w:pStyle w:val="BodyText"/>
        <w:jc w:val="both"/>
      </w:pPr>
    </w:p>
    <w:p w14:paraId="72D1C71F" w14:textId="1D4A2AC9" w:rsidR="00B70430" w:rsidRDefault="004475BD" w:rsidP="005D542D">
      <w:pPr>
        <w:pStyle w:val="BodyText"/>
        <w:jc w:val="both"/>
        <w:rPr>
          <w:b/>
          <w:bCs w:val="0"/>
        </w:rPr>
      </w:pPr>
      <w:r>
        <w:rPr>
          <w:b/>
          <w:bCs w:val="0"/>
        </w:rPr>
        <w:t>Statement of Accounts 2022/23</w:t>
      </w:r>
    </w:p>
    <w:p w14:paraId="415814A5" w14:textId="6B1CDD8C" w:rsidR="00B70430" w:rsidRDefault="00B70430" w:rsidP="005D542D">
      <w:pPr>
        <w:pStyle w:val="BodyText"/>
        <w:jc w:val="both"/>
        <w:rPr>
          <w:b/>
          <w:bCs w:val="0"/>
        </w:rPr>
      </w:pPr>
    </w:p>
    <w:p w14:paraId="4D6C3B5F" w14:textId="5AAAFAB1" w:rsidR="00B70430" w:rsidRDefault="004475BD" w:rsidP="005D542D">
      <w:pPr>
        <w:pStyle w:val="BodyText"/>
        <w:jc w:val="both"/>
      </w:pPr>
      <w:r>
        <w:t>The committee considered a report presented by Khadija Saeed, Head of Corporate Finance on the delay to the council's statement of accounts for the financial year 2022/23.</w:t>
      </w:r>
    </w:p>
    <w:p w14:paraId="538385CA" w14:textId="77B074B7" w:rsidR="00B70430" w:rsidRDefault="00B70430" w:rsidP="005D542D">
      <w:pPr>
        <w:pStyle w:val="BodyText"/>
        <w:jc w:val="both"/>
      </w:pPr>
    </w:p>
    <w:p w14:paraId="155E11F8" w14:textId="40930AB5" w:rsidR="00B70430" w:rsidRDefault="004475BD" w:rsidP="005D542D">
      <w:pPr>
        <w:jc w:val="both"/>
      </w:pPr>
      <w:r>
        <w:rPr>
          <w:b/>
          <w:bCs w:val="0"/>
        </w:rPr>
        <w:t>Resolved:</w:t>
      </w:r>
      <w:r>
        <w:rPr>
          <w:b/>
          <w:bCs w:val="0"/>
        </w:rPr>
        <w:t xml:space="preserve"> </w:t>
      </w:r>
      <w:r>
        <w:t>That the delay to the publication of the council's statement of accounts for the financial year 2022/23 be noted.</w:t>
      </w:r>
    </w:p>
    <w:p w14:paraId="640EA5A2" w14:textId="51A742E3" w:rsidR="00B70430" w:rsidRDefault="00B70430" w:rsidP="005D542D">
      <w:pPr>
        <w:jc w:val="both"/>
      </w:pPr>
    </w:p>
    <w:p w14:paraId="18BDD8C2" w14:textId="77777777" w:rsidR="00E86EAE" w:rsidRDefault="00E86EAE" w:rsidP="005D542D">
      <w:pPr>
        <w:jc w:val="both"/>
      </w:pPr>
    </w:p>
    <w:p w14:paraId="756F5C90" w14:textId="769B172F" w:rsidR="00B70430" w:rsidRDefault="004475BD" w:rsidP="005D542D">
      <w:pPr>
        <w:jc w:val="both"/>
        <w:rPr>
          <w:rFonts w:cs="Arial"/>
          <w:b/>
          <w:szCs w:val="28"/>
        </w:rPr>
      </w:pPr>
      <w:r>
        <w:rPr>
          <w:rFonts w:cs="Arial"/>
          <w:b/>
          <w:szCs w:val="28"/>
        </w:rPr>
        <w:t>External Audit - Audit Progress Report and Sector Update</w:t>
      </w:r>
    </w:p>
    <w:p w14:paraId="36D54B3A" w14:textId="2FB3D24D" w:rsidR="00B70430" w:rsidRDefault="00B70430" w:rsidP="005D542D">
      <w:pPr>
        <w:jc w:val="both"/>
        <w:rPr>
          <w:rFonts w:cs="Arial"/>
          <w:b/>
          <w:szCs w:val="28"/>
        </w:rPr>
      </w:pPr>
    </w:p>
    <w:p w14:paraId="14438460" w14:textId="4B31AF9C" w:rsidR="00B70430" w:rsidRDefault="004475BD" w:rsidP="005D542D">
      <w:pPr>
        <w:jc w:val="both"/>
        <w:rPr>
          <w:rFonts w:cs="Arial"/>
        </w:rPr>
      </w:pPr>
      <w:r>
        <w:rPr>
          <w:rFonts w:cs="Arial"/>
          <w:bCs w:val="0"/>
          <w:szCs w:val="28"/>
        </w:rPr>
        <w:t>The committee considered a report presented by Stuart Basnett, Audit Manager at G</w:t>
      </w:r>
      <w:r>
        <w:rPr>
          <w:rFonts w:cs="Arial"/>
          <w:bCs w:val="0"/>
          <w:szCs w:val="28"/>
        </w:rPr>
        <w:t>rant Thornton</w:t>
      </w:r>
      <w:r w:rsidR="00335E2C">
        <w:rPr>
          <w:rFonts w:cs="Arial"/>
          <w:bCs w:val="0"/>
          <w:szCs w:val="28"/>
        </w:rPr>
        <w:t xml:space="preserve"> </w:t>
      </w:r>
      <w:r w:rsidR="00335E2C">
        <w:rPr>
          <w:rFonts w:cs="Arial"/>
        </w:rPr>
        <w:t>which provided an update on the audit and wider sector as of July 2023.</w:t>
      </w:r>
    </w:p>
    <w:p w14:paraId="4C2AE244" w14:textId="24372871" w:rsidR="00335E2C" w:rsidRDefault="00335E2C" w:rsidP="005D542D">
      <w:pPr>
        <w:jc w:val="both"/>
        <w:rPr>
          <w:rFonts w:cs="Arial"/>
        </w:rPr>
      </w:pPr>
    </w:p>
    <w:p w14:paraId="5C1D5F53" w14:textId="77777777" w:rsidR="00335E2C" w:rsidRDefault="004475BD" w:rsidP="005D542D">
      <w:pPr>
        <w:jc w:val="both"/>
      </w:pPr>
      <w:r>
        <w:rPr>
          <w:b/>
          <w:bCs w:val="0"/>
        </w:rPr>
        <w:t xml:space="preserve">Resolved: </w:t>
      </w:r>
      <w:r>
        <w:t>That the Audit Progress Report and Sector Update for July 2023, as presented, be noted.</w:t>
      </w:r>
    </w:p>
    <w:p w14:paraId="73173371" w14:textId="2C78478D" w:rsidR="00335E2C" w:rsidRDefault="00335E2C" w:rsidP="005D542D">
      <w:pPr>
        <w:jc w:val="both"/>
        <w:rPr>
          <w:b/>
          <w:bCs w:val="0"/>
        </w:rPr>
      </w:pPr>
    </w:p>
    <w:p w14:paraId="1D5DAFBC" w14:textId="57A79C05" w:rsidR="00335E2C" w:rsidRDefault="004475BD" w:rsidP="005D542D">
      <w:pPr>
        <w:jc w:val="both"/>
        <w:rPr>
          <w:b/>
          <w:bCs w:val="0"/>
        </w:rPr>
      </w:pPr>
      <w:r>
        <w:rPr>
          <w:rFonts w:cs="Arial"/>
          <w:b/>
          <w:szCs w:val="28"/>
        </w:rPr>
        <w:t>External Audit - Lancashire County Council Audit Plan 2022/23</w:t>
      </w:r>
    </w:p>
    <w:p w14:paraId="3AB6C1CF" w14:textId="6F5C6F8C" w:rsidR="00B70430" w:rsidRDefault="00B70430" w:rsidP="005D542D">
      <w:pPr>
        <w:pStyle w:val="BodyText"/>
        <w:jc w:val="both"/>
        <w:rPr>
          <w:b/>
          <w:bCs w:val="0"/>
        </w:rPr>
      </w:pPr>
    </w:p>
    <w:p w14:paraId="48304452" w14:textId="31302F9F" w:rsidR="00335E2C" w:rsidRDefault="004475BD" w:rsidP="005D542D">
      <w:pPr>
        <w:pStyle w:val="BodyText"/>
        <w:jc w:val="both"/>
        <w:rPr>
          <w:b/>
          <w:bCs w:val="0"/>
        </w:rPr>
      </w:pPr>
      <w:r>
        <w:rPr>
          <w:rFonts w:cs="Arial"/>
          <w:bCs w:val="0"/>
          <w:szCs w:val="28"/>
        </w:rPr>
        <w:t xml:space="preserve">The </w:t>
      </w:r>
      <w:r>
        <w:rPr>
          <w:rFonts w:cs="Arial"/>
          <w:bCs w:val="0"/>
          <w:szCs w:val="28"/>
        </w:rPr>
        <w:t>committee considered a report presented by Sarah Ironmonger, Partner at Grant Thornton on the Lancashire County Council Audit Plan for 2022/23.</w:t>
      </w:r>
    </w:p>
    <w:p w14:paraId="3B94C185" w14:textId="54D0F171" w:rsidR="00335E2C" w:rsidRDefault="00335E2C" w:rsidP="005D542D">
      <w:pPr>
        <w:pStyle w:val="BodyText"/>
        <w:jc w:val="both"/>
        <w:rPr>
          <w:b/>
          <w:bCs w:val="0"/>
        </w:rPr>
      </w:pPr>
    </w:p>
    <w:p w14:paraId="5E3ACF0E" w14:textId="77777777" w:rsidR="00335E2C" w:rsidRDefault="004475BD" w:rsidP="005D542D">
      <w:pPr>
        <w:jc w:val="both"/>
      </w:pPr>
      <w:r>
        <w:rPr>
          <w:b/>
          <w:bCs w:val="0"/>
        </w:rPr>
        <w:t xml:space="preserve">Resolved: </w:t>
      </w:r>
      <w:r>
        <w:t>That the Lancashire County Council Audit Plan 2022/23, as presented, be noted.</w:t>
      </w:r>
    </w:p>
    <w:p w14:paraId="6ECB6BFE" w14:textId="7D8AFA02" w:rsidR="00335E2C" w:rsidRDefault="00335E2C" w:rsidP="005D542D">
      <w:pPr>
        <w:pStyle w:val="BodyText"/>
        <w:jc w:val="both"/>
        <w:rPr>
          <w:b/>
          <w:bCs w:val="0"/>
        </w:rPr>
      </w:pPr>
    </w:p>
    <w:p w14:paraId="57A615A3" w14:textId="59BF3E4F" w:rsidR="00335E2C" w:rsidRDefault="004475BD" w:rsidP="005D542D">
      <w:pPr>
        <w:pStyle w:val="BodyText"/>
        <w:jc w:val="both"/>
        <w:rPr>
          <w:rFonts w:cs="Arial"/>
          <w:b/>
          <w:szCs w:val="28"/>
        </w:rPr>
      </w:pPr>
      <w:r>
        <w:rPr>
          <w:rFonts w:cs="Arial"/>
          <w:b/>
          <w:szCs w:val="28"/>
        </w:rPr>
        <w:lastRenderedPageBreak/>
        <w:t>External Audit - Lanc</w:t>
      </w:r>
      <w:r>
        <w:rPr>
          <w:rFonts w:cs="Arial"/>
          <w:b/>
          <w:szCs w:val="28"/>
        </w:rPr>
        <w:t>ashire County Pension Fund Audit Plan 2022/23</w:t>
      </w:r>
    </w:p>
    <w:p w14:paraId="18C63797" w14:textId="074F5BFF" w:rsidR="00335E2C" w:rsidRDefault="00335E2C" w:rsidP="005D542D">
      <w:pPr>
        <w:pStyle w:val="BodyText"/>
        <w:jc w:val="both"/>
        <w:rPr>
          <w:rFonts w:cs="Arial"/>
          <w:bCs w:val="0"/>
          <w:szCs w:val="28"/>
        </w:rPr>
      </w:pPr>
    </w:p>
    <w:p w14:paraId="0A890BB3" w14:textId="7C9634E8" w:rsidR="00335E2C" w:rsidRDefault="004475BD" w:rsidP="005D542D">
      <w:pPr>
        <w:pStyle w:val="BodyText"/>
        <w:jc w:val="both"/>
        <w:rPr>
          <w:rFonts w:cs="Arial"/>
          <w:bCs w:val="0"/>
          <w:szCs w:val="28"/>
        </w:rPr>
      </w:pPr>
      <w:r>
        <w:rPr>
          <w:rFonts w:cs="Arial"/>
          <w:bCs w:val="0"/>
          <w:szCs w:val="28"/>
        </w:rPr>
        <w:t>The committee considered a report presented by Sarah Ironmonger, Partner at Grant Thornton on the Lancashire County Pension Fund Audit Plan for 2022/23.</w:t>
      </w:r>
    </w:p>
    <w:p w14:paraId="29789228" w14:textId="118BD556" w:rsidR="00335E2C" w:rsidRDefault="00335E2C" w:rsidP="005D542D">
      <w:pPr>
        <w:pStyle w:val="BodyText"/>
        <w:jc w:val="both"/>
        <w:rPr>
          <w:rFonts w:cs="Arial"/>
          <w:bCs w:val="0"/>
          <w:szCs w:val="28"/>
        </w:rPr>
      </w:pPr>
    </w:p>
    <w:p w14:paraId="2ECE737D" w14:textId="3562FE63" w:rsidR="00335E2C" w:rsidRDefault="004475BD" w:rsidP="005D542D">
      <w:pPr>
        <w:jc w:val="both"/>
      </w:pPr>
      <w:r>
        <w:rPr>
          <w:b/>
          <w:bCs w:val="0"/>
        </w:rPr>
        <w:t xml:space="preserve">Resolved: </w:t>
      </w:r>
      <w:r>
        <w:t>That the Lancashire County Pension Fund Audit</w:t>
      </w:r>
      <w:r>
        <w:t xml:space="preserve"> Plan 2022/23, as presented, be noted.</w:t>
      </w:r>
    </w:p>
    <w:p w14:paraId="31C5F967" w14:textId="12FDAB4E" w:rsidR="00335E2C" w:rsidRDefault="00335E2C" w:rsidP="005D542D">
      <w:pPr>
        <w:jc w:val="both"/>
      </w:pPr>
    </w:p>
    <w:p w14:paraId="28A17C5F" w14:textId="7C53D979" w:rsidR="00335E2C" w:rsidRDefault="004475BD" w:rsidP="005D542D">
      <w:pPr>
        <w:jc w:val="both"/>
        <w:rPr>
          <w:rFonts w:cs="Arial"/>
          <w:b/>
          <w:szCs w:val="28"/>
        </w:rPr>
      </w:pPr>
      <w:r>
        <w:rPr>
          <w:rFonts w:cs="Arial"/>
          <w:b/>
          <w:szCs w:val="28"/>
        </w:rPr>
        <w:t>Internal Audit Progress Report</w:t>
      </w:r>
    </w:p>
    <w:p w14:paraId="37CAE687" w14:textId="7DFA8E59" w:rsidR="00335E2C" w:rsidRDefault="00335E2C" w:rsidP="005D542D">
      <w:pPr>
        <w:jc w:val="both"/>
        <w:rPr>
          <w:rFonts w:cs="Arial"/>
          <w:b/>
          <w:szCs w:val="28"/>
        </w:rPr>
      </w:pPr>
    </w:p>
    <w:p w14:paraId="1033ED36" w14:textId="36AC3EFB" w:rsidR="00335E2C" w:rsidRDefault="004475BD" w:rsidP="005D542D">
      <w:pPr>
        <w:jc w:val="both"/>
        <w:rPr>
          <w:rFonts w:cs="Arial"/>
          <w:bCs w:val="0"/>
          <w:szCs w:val="28"/>
        </w:rPr>
      </w:pPr>
      <w:r>
        <w:rPr>
          <w:rFonts w:cs="Arial"/>
          <w:bCs w:val="0"/>
          <w:szCs w:val="28"/>
        </w:rPr>
        <w:t>The committee considered a report presented by Andy Dalecki, Head of Internal Audit which provided an update on the Internal Audit Service's work and outcome for 2022/23, for the perio</w:t>
      </w:r>
      <w:r>
        <w:rPr>
          <w:rFonts w:cs="Arial"/>
          <w:bCs w:val="0"/>
          <w:szCs w:val="28"/>
        </w:rPr>
        <w:t>d to 27 June 2023.</w:t>
      </w:r>
    </w:p>
    <w:p w14:paraId="08F8EE91" w14:textId="50E4D9D0" w:rsidR="00335E2C" w:rsidRDefault="00335E2C" w:rsidP="005D542D">
      <w:pPr>
        <w:jc w:val="both"/>
        <w:rPr>
          <w:rFonts w:cs="Arial"/>
          <w:bCs w:val="0"/>
          <w:szCs w:val="28"/>
        </w:rPr>
      </w:pPr>
    </w:p>
    <w:p w14:paraId="7684CFAF" w14:textId="60206595" w:rsidR="00335E2C" w:rsidRPr="00335E2C" w:rsidRDefault="004475BD" w:rsidP="005D542D">
      <w:pPr>
        <w:jc w:val="both"/>
        <w:rPr>
          <w:bCs w:val="0"/>
        </w:rPr>
      </w:pPr>
      <w:r>
        <w:rPr>
          <w:b/>
          <w:bCs w:val="0"/>
        </w:rPr>
        <w:t xml:space="preserve">Resolved: </w:t>
      </w:r>
      <w:r>
        <w:t>That the Internal Audit Progress Report, as presented, be noted.</w:t>
      </w:r>
    </w:p>
    <w:p w14:paraId="3C83FEB0" w14:textId="77777777" w:rsidR="00335E2C" w:rsidRPr="00335E2C" w:rsidRDefault="00335E2C" w:rsidP="005D542D">
      <w:pPr>
        <w:pStyle w:val="BodyText"/>
        <w:jc w:val="both"/>
        <w:rPr>
          <w:bCs w:val="0"/>
        </w:rPr>
      </w:pPr>
    </w:p>
    <w:p w14:paraId="515FFCCC" w14:textId="77777777" w:rsidR="0091685E" w:rsidRPr="00817DC5" w:rsidRDefault="004475BD" w:rsidP="005D542D">
      <w:pPr>
        <w:jc w:val="both"/>
        <w:rPr>
          <w:rFonts w:cs="Arial"/>
          <w:szCs w:val="22"/>
        </w:rPr>
      </w:pPr>
      <w:r>
        <w:rPr>
          <w:rFonts w:cs="Arial"/>
          <w:b/>
          <w:szCs w:val="28"/>
        </w:rPr>
        <w:t>Internal Audit Annual Report 2022/23</w:t>
      </w:r>
    </w:p>
    <w:p w14:paraId="1B92212C" w14:textId="47E959F4" w:rsidR="00335E2C" w:rsidRDefault="00335E2C" w:rsidP="005D542D">
      <w:pPr>
        <w:pStyle w:val="BodyText"/>
        <w:jc w:val="both"/>
        <w:rPr>
          <w:b/>
          <w:bCs w:val="0"/>
        </w:rPr>
      </w:pPr>
    </w:p>
    <w:p w14:paraId="5E2CBF7A" w14:textId="434261D1" w:rsidR="0091685E" w:rsidRPr="0091685E" w:rsidRDefault="004475BD" w:rsidP="005D542D">
      <w:pPr>
        <w:pStyle w:val="BodyText"/>
        <w:jc w:val="both"/>
      </w:pPr>
      <w:r>
        <w:t>The committee considered a report presented by Andy Dalecki, Head of Internal Audit which set out the Internal Audit Annua</w:t>
      </w:r>
      <w:r>
        <w:t>l Report 2022/23.</w:t>
      </w:r>
    </w:p>
    <w:p w14:paraId="03EA4819" w14:textId="36D789F2" w:rsidR="00B70430" w:rsidRDefault="00B70430" w:rsidP="005D542D">
      <w:pPr>
        <w:pStyle w:val="BodyText"/>
        <w:jc w:val="both"/>
        <w:rPr>
          <w:b/>
          <w:bCs w:val="0"/>
        </w:rPr>
      </w:pPr>
    </w:p>
    <w:p w14:paraId="05D3E933" w14:textId="13A5D166" w:rsidR="0091685E" w:rsidRDefault="004475BD" w:rsidP="005D542D">
      <w:pPr>
        <w:pStyle w:val="BodyText"/>
        <w:jc w:val="both"/>
      </w:pPr>
      <w:r>
        <w:rPr>
          <w:b/>
          <w:bCs w:val="0"/>
        </w:rPr>
        <w:t xml:space="preserve">Resolved: </w:t>
      </w:r>
      <w:r>
        <w:t>That the Internal Audit Annual Report for 2022/23, as presented, be noted.</w:t>
      </w:r>
    </w:p>
    <w:p w14:paraId="5B5EFEE2" w14:textId="66651338" w:rsidR="0091685E" w:rsidRDefault="0091685E" w:rsidP="005D542D">
      <w:pPr>
        <w:pStyle w:val="BodyText"/>
        <w:jc w:val="both"/>
      </w:pPr>
    </w:p>
    <w:p w14:paraId="04028440" w14:textId="77777777" w:rsidR="0091685E" w:rsidRPr="00817DC5" w:rsidRDefault="004475BD" w:rsidP="005D542D">
      <w:pPr>
        <w:jc w:val="both"/>
        <w:rPr>
          <w:rFonts w:cs="Arial"/>
          <w:szCs w:val="22"/>
        </w:rPr>
      </w:pPr>
      <w:r>
        <w:rPr>
          <w:rFonts w:cs="Arial"/>
          <w:b/>
          <w:szCs w:val="28"/>
        </w:rPr>
        <w:t>Internal Audit Charter</w:t>
      </w:r>
    </w:p>
    <w:p w14:paraId="4E9F337E" w14:textId="2EA4CD95" w:rsidR="0091685E" w:rsidRDefault="0091685E" w:rsidP="005D542D">
      <w:pPr>
        <w:pStyle w:val="BodyText"/>
        <w:jc w:val="both"/>
        <w:rPr>
          <w:b/>
          <w:bCs w:val="0"/>
        </w:rPr>
      </w:pPr>
    </w:p>
    <w:p w14:paraId="036FA313" w14:textId="7B6DD33D" w:rsidR="0091685E" w:rsidRDefault="004475BD" w:rsidP="005D542D">
      <w:pPr>
        <w:pStyle w:val="BodyText"/>
        <w:jc w:val="both"/>
      </w:pPr>
      <w:r>
        <w:t>The committee considered a report presented by Andy Dalecki, Head of Internal Audit which set out the updated Internal Audit Charter.</w:t>
      </w:r>
    </w:p>
    <w:p w14:paraId="3F4DBC01" w14:textId="24323B1F" w:rsidR="0091685E" w:rsidRDefault="0091685E" w:rsidP="005D542D">
      <w:pPr>
        <w:pStyle w:val="BodyText"/>
        <w:jc w:val="both"/>
      </w:pPr>
    </w:p>
    <w:p w14:paraId="034DA106" w14:textId="77777777" w:rsidR="0091685E" w:rsidRDefault="004475BD" w:rsidP="005D542D">
      <w:pPr>
        <w:jc w:val="both"/>
      </w:pPr>
      <w:r>
        <w:rPr>
          <w:b/>
          <w:bCs w:val="0"/>
        </w:rPr>
        <w:t xml:space="preserve">Resolved: </w:t>
      </w:r>
      <w:r>
        <w:t>That the Internal Audit Charter, as presented, be approved.</w:t>
      </w:r>
    </w:p>
    <w:p w14:paraId="3C568C23" w14:textId="77777777" w:rsidR="00CD6F8F" w:rsidRDefault="00CD6F8F" w:rsidP="005D542D">
      <w:pPr>
        <w:pStyle w:val="BodyText"/>
        <w:jc w:val="both"/>
        <w:rPr>
          <w:b/>
          <w:bCs w:val="0"/>
        </w:rPr>
      </w:pPr>
    </w:p>
    <w:p w14:paraId="42FEAD04" w14:textId="77777777" w:rsidR="0091685E" w:rsidRPr="00817DC5" w:rsidRDefault="004475BD" w:rsidP="005D542D">
      <w:pPr>
        <w:jc w:val="both"/>
        <w:rPr>
          <w:rFonts w:cs="Arial"/>
          <w:szCs w:val="22"/>
        </w:rPr>
      </w:pPr>
      <w:r>
        <w:rPr>
          <w:rFonts w:cs="Arial"/>
          <w:b/>
          <w:szCs w:val="28"/>
        </w:rPr>
        <w:t>Review of Arrangements for the Oversight of Counci</w:t>
      </w:r>
      <w:r>
        <w:rPr>
          <w:rFonts w:cs="Arial"/>
          <w:b/>
          <w:szCs w:val="28"/>
        </w:rPr>
        <w:t>l Controlled Companies</w:t>
      </w:r>
    </w:p>
    <w:p w14:paraId="45860F1D" w14:textId="46532BC3" w:rsidR="0091685E" w:rsidRDefault="0091685E" w:rsidP="005D542D">
      <w:pPr>
        <w:pStyle w:val="BodyText"/>
        <w:jc w:val="both"/>
        <w:rPr>
          <w:b/>
          <w:bCs w:val="0"/>
        </w:rPr>
      </w:pPr>
    </w:p>
    <w:p w14:paraId="7FC2B38C" w14:textId="093AB07B" w:rsidR="0091685E" w:rsidRDefault="004475BD" w:rsidP="005D542D">
      <w:pPr>
        <w:pStyle w:val="BodyText"/>
        <w:jc w:val="both"/>
      </w:pPr>
      <w:r>
        <w:t>The committee considered a report presented by Paul Bond, Head of Legal, Governance and Registration on the work undertaken to strengthen the county council's strategic management of its wholly or partly owned companies.</w:t>
      </w:r>
    </w:p>
    <w:p w14:paraId="2B911A1A" w14:textId="78A332DB" w:rsidR="0091685E" w:rsidRDefault="0091685E" w:rsidP="005D542D">
      <w:pPr>
        <w:pStyle w:val="BodyText"/>
        <w:jc w:val="both"/>
      </w:pPr>
    </w:p>
    <w:p w14:paraId="27266067" w14:textId="77777777" w:rsidR="0091685E" w:rsidRDefault="004475BD" w:rsidP="005D542D">
      <w:pPr>
        <w:jc w:val="both"/>
      </w:pPr>
      <w:r>
        <w:rPr>
          <w:b/>
          <w:bCs w:val="0"/>
        </w:rPr>
        <w:t xml:space="preserve">Resolved: </w:t>
      </w:r>
      <w:r>
        <w:t>That</w:t>
      </w:r>
    </w:p>
    <w:p w14:paraId="064D16E7" w14:textId="77777777" w:rsidR="0091685E" w:rsidRDefault="0091685E" w:rsidP="005D542D">
      <w:pPr>
        <w:jc w:val="both"/>
      </w:pPr>
    </w:p>
    <w:p w14:paraId="56745A55" w14:textId="77777777" w:rsidR="0091685E" w:rsidRDefault="004475BD" w:rsidP="005D542D">
      <w:pPr>
        <w:numPr>
          <w:ilvl w:val="0"/>
          <w:numId w:val="10"/>
        </w:numPr>
        <w:jc w:val="both"/>
      </w:pPr>
      <w:r>
        <w:t>The information about the oversight of council controlled companies, in particular the role of the newly established Company Member Cabinet Committee, be noted; and</w:t>
      </w:r>
    </w:p>
    <w:p w14:paraId="48BA547B" w14:textId="77777777" w:rsidR="0091685E" w:rsidRDefault="0091685E" w:rsidP="005D542D">
      <w:pPr>
        <w:ind w:left="720"/>
        <w:jc w:val="both"/>
      </w:pPr>
    </w:p>
    <w:p w14:paraId="2F47D836" w14:textId="77777777" w:rsidR="0091685E" w:rsidRDefault="004475BD" w:rsidP="005D542D">
      <w:pPr>
        <w:numPr>
          <w:ilvl w:val="0"/>
          <w:numId w:val="10"/>
        </w:numPr>
        <w:jc w:val="both"/>
      </w:pPr>
      <w:r>
        <w:t>Any risks identified by the Company Member Cabinet Committee in relation to companie</w:t>
      </w:r>
      <w:r>
        <w:t>s be reported to the Audit, Risk and Governance Committee as appropriate.</w:t>
      </w:r>
    </w:p>
    <w:p w14:paraId="27E2EC7A" w14:textId="0F0F8BFB" w:rsidR="0091685E" w:rsidRDefault="0091685E" w:rsidP="005D542D">
      <w:pPr>
        <w:pStyle w:val="BodyText"/>
        <w:jc w:val="both"/>
        <w:rPr>
          <w:b/>
          <w:bCs w:val="0"/>
        </w:rPr>
      </w:pPr>
    </w:p>
    <w:p w14:paraId="0F0EBAD8" w14:textId="77777777" w:rsidR="00515830" w:rsidRDefault="00515830" w:rsidP="005D542D">
      <w:pPr>
        <w:jc w:val="both"/>
        <w:rPr>
          <w:rFonts w:cs="Arial"/>
          <w:b/>
          <w:szCs w:val="28"/>
        </w:rPr>
      </w:pPr>
    </w:p>
    <w:p w14:paraId="22FE0C54" w14:textId="77777777" w:rsidR="00515830" w:rsidRDefault="00515830" w:rsidP="005D542D">
      <w:pPr>
        <w:jc w:val="both"/>
        <w:rPr>
          <w:rFonts w:cs="Arial"/>
          <w:b/>
          <w:szCs w:val="28"/>
        </w:rPr>
      </w:pPr>
    </w:p>
    <w:p w14:paraId="34FE1FBC" w14:textId="77777777" w:rsidR="00515830" w:rsidRDefault="00515830" w:rsidP="005D542D">
      <w:pPr>
        <w:jc w:val="both"/>
        <w:rPr>
          <w:rFonts w:cs="Arial"/>
          <w:b/>
          <w:szCs w:val="28"/>
        </w:rPr>
      </w:pPr>
    </w:p>
    <w:p w14:paraId="661BF9DB" w14:textId="77777777" w:rsidR="00515830" w:rsidRDefault="00515830" w:rsidP="005D542D">
      <w:pPr>
        <w:jc w:val="both"/>
        <w:rPr>
          <w:rFonts w:cs="Arial"/>
          <w:b/>
          <w:szCs w:val="28"/>
        </w:rPr>
      </w:pPr>
    </w:p>
    <w:p w14:paraId="142B0157" w14:textId="14143402" w:rsidR="0091685E" w:rsidRPr="00817DC5" w:rsidRDefault="004475BD" w:rsidP="005D542D">
      <w:pPr>
        <w:jc w:val="both"/>
        <w:rPr>
          <w:rFonts w:cs="Arial"/>
          <w:szCs w:val="22"/>
        </w:rPr>
      </w:pPr>
      <w:r>
        <w:rPr>
          <w:rFonts w:cs="Arial"/>
          <w:b/>
          <w:szCs w:val="28"/>
        </w:rPr>
        <w:lastRenderedPageBreak/>
        <w:t>Corporate Risk and Opportunity Register – Quarter 1 Update</w:t>
      </w:r>
    </w:p>
    <w:p w14:paraId="6279E802" w14:textId="63E07C30" w:rsidR="0091685E" w:rsidRDefault="0091685E" w:rsidP="005D542D">
      <w:pPr>
        <w:pStyle w:val="BodyText"/>
        <w:jc w:val="both"/>
        <w:rPr>
          <w:b/>
          <w:bCs w:val="0"/>
        </w:rPr>
      </w:pPr>
    </w:p>
    <w:p w14:paraId="36092BF5" w14:textId="54AA3263" w:rsidR="0091685E" w:rsidRDefault="004475BD" w:rsidP="005D542D">
      <w:pPr>
        <w:pStyle w:val="BodyText"/>
        <w:jc w:val="both"/>
      </w:pPr>
      <w:r>
        <w:t xml:space="preserve">The committee considered a report presented by Paul Bond, Head of Legal, Governance and Registration which set out </w:t>
      </w:r>
      <w:r>
        <w:t>the updated Corporate Risk and Opportunity Register for Quarter 1 of 2023/24.</w:t>
      </w:r>
    </w:p>
    <w:p w14:paraId="205BD1DD" w14:textId="7D8ED336" w:rsidR="0091685E" w:rsidRDefault="0091685E" w:rsidP="005D542D">
      <w:pPr>
        <w:pStyle w:val="BodyText"/>
        <w:jc w:val="both"/>
      </w:pPr>
    </w:p>
    <w:p w14:paraId="124D7666" w14:textId="77777777" w:rsidR="0091685E" w:rsidRDefault="004475BD" w:rsidP="005D542D">
      <w:pPr>
        <w:jc w:val="both"/>
      </w:pPr>
      <w:r>
        <w:rPr>
          <w:b/>
          <w:bCs w:val="0"/>
        </w:rPr>
        <w:t xml:space="preserve">Resolved: </w:t>
      </w:r>
      <w:r>
        <w:t>That the updated Corporate Risk and Opportunity Register, as presented, be noted.</w:t>
      </w:r>
    </w:p>
    <w:p w14:paraId="6B49CD34" w14:textId="36D09D5C" w:rsidR="0091685E" w:rsidRDefault="0091685E" w:rsidP="005D542D">
      <w:pPr>
        <w:pStyle w:val="BodyText"/>
        <w:jc w:val="both"/>
        <w:rPr>
          <w:b/>
          <w:bCs w:val="0"/>
        </w:rPr>
      </w:pPr>
    </w:p>
    <w:p w14:paraId="1671319F" w14:textId="1958971C" w:rsidR="0091685E" w:rsidRDefault="004475BD" w:rsidP="005D542D">
      <w:pPr>
        <w:jc w:val="both"/>
        <w:rPr>
          <w:rFonts w:cs="Arial"/>
          <w:b/>
          <w:szCs w:val="28"/>
        </w:rPr>
      </w:pPr>
      <w:r>
        <w:rPr>
          <w:rFonts w:cs="Arial"/>
          <w:b/>
          <w:szCs w:val="28"/>
        </w:rPr>
        <w:t>Chairman's Annual Report</w:t>
      </w:r>
    </w:p>
    <w:p w14:paraId="76A9D374" w14:textId="6C21F183" w:rsidR="0091685E" w:rsidRDefault="0091685E" w:rsidP="005D542D">
      <w:pPr>
        <w:jc w:val="both"/>
        <w:rPr>
          <w:rFonts w:cs="Arial"/>
          <w:bCs w:val="0"/>
          <w:szCs w:val="28"/>
        </w:rPr>
      </w:pPr>
    </w:p>
    <w:p w14:paraId="6D3B2FD7" w14:textId="7D681B6C" w:rsidR="0091685E" w:rsidRDefault="004475BD" w:rsidP="005D542D">
      <w:pPr>
        <w:jc w:val="both"/>
        <w:rPr>
          <w:rFonts w:cs="Arial"/>
          <w:bCs w:val="0"/>
          <w:szCs w:val="28"/>
        </w:rPr>
      </w:pPr>
      <w:r>
        <w:rPr>
          <w:rFonts w:cs="Arial"/>
          <w:bCs w:val="0"/>
          <w:szCs w:val="28"/>
        </w:rPr>
        <w:t xml:space="preserve">The committee considered the Chairman's Annual </w:t>
      </w:r>
      <w:r>
        <w:rPr>
          <w:rFonts w:cs="Arial"/>
          <w:bCs w:val="0"/>
          <w:szCs w:val="28"/>
        </w:rPr>
        <w:t>Report for 2022/23.</w:t>
      </w:r>
    </w:p>
    <w:p w14:paraId="1DF0EC02" w14:textId="3E9AC040" w:rsidR="0091685E" w:rsidRDefault="0091685E" w:rsidP="005D542D">
      <w:pPr>
        <w:jc w:val="both"/>
        <w:rPr>
          <w:rFonts w:cs="Arial"/>
          <w:bCs w:val="0"/>
          <w:szCs w:val="28"/>
        </w:rPr>
      </w:pPr>
    </w:p>
    <w:p w14:paraId="51CE2194" w14:textId="5C04407E" w:rsidR="0091685E" w:rsidRPr="0091685E" w:rsidRDefault="004475BD" w:rsidP="005D542D">
      <w:pPr>
        <w:jc w:val="both"/>
      </w:pPr>
      <w:r>
        <w:rPr>
          <w:b/>
          <w:bCs w:val="0"/>
        </w:rPr>
        <w:t xml:space="preserve">Resolved: </w:t>
      </w:r>
      <w:r>
        <w:t>That the Chairman's Annual Report for 2022/23 be noted.</w:t>
      </w:r>
    </w:p>
    <w:p w14:paraId="7C319D6C" w14:textId="77777777" w:rsidR="0091685E" w:rsidRDefault="0091685E" w:rsidP="005D542D">
      <w:pPr>
        <w:pStyle w:val="BodyText"/>
        <w:jc w:val="both"/>
        <w:rPr>
          <w:b/>
          <w:bCs w:val="0"/>
        </w:rPr>
      </w:pPr>
    </w:p>
    <w:p w14:paraId="3910E061" w14:textId="77777777" w:rsidR="0091685E" w:rsidRPr="00817DC5" w:rsidRDefault="004475BD" w:rsidP="005D542D">
      <w:pPr>
        <w:jc w:val="both"/>
        <w:rPr>
          <w:rFonts w:cs="Arial"/>
          <w:szCs w:val="22"/>
        </w:rPr>
      </w:pPr>
      <w:r>
        <w:rPr>
          <w:rFonts w:cs="Arial"/>
          <w:b/>
          <w:szCs w:val="28"/>
        </w:rPr>
        <w:t>Draft Work Plan 2023/24</w:t>
      </w:r>
    </w:p>
    <w:p w14:paraId="30F81A2C" w14:textId="77777777" w:rsidR="0091685E" w:rsidRDefault="0091685E" w:rsidP="005D542D">
      <w:pPr>
        <w:pStyle w:val="BodyText"/>
        <w:jc w:val="both"/>
      </w:pPr>
    </w:p>
    <w:p w14:paraId="5143CC08" w14:textId="51B53D28" w:rsidR="0091685E" w:rsidRDefault="004475BD" w:rsidP="005D542D">
      <w:pPr>
        <w:pStyle w:val="BodyText"/>
        <w:jc w:val="both"/>
      </w:pPr>
      <w:r>
        <w:t>The committee considered a report which set out the draft work plan for the Audit, Risk and Governance Committee for 2023/24.</w:t>
      </w:r>
    </w:p>
    <w:p w14:paraId="7115353F" w14:textId="55A8B54F" w:rsidR="0091685E" w:rsidRDefault="0091685E" w:rsidP="005D542D">
      <w:pPr>
        <w:pStyle w:val="BodyText"/>
        <w:jc w:val="both"/>
      </w:pPr>
    </w:p>
    <w:p w14:paraId="7AC5E4F8" w14:textId="5B7955A2" w:rsidR="0091685E" w:rsidRDefault="004475BD" w:rsidP="005D542D">
      <w:pPr>
        <w:jc w:val="both"/>
      </w:pPr>
      <w:r>
        <w:rPr>
          <w:b/>
          <w:bCs w:val="0"/>
        </w:rPr>
        <w:t xml:space="preserve">Resolved: </w:t>
      </w:r>
      <w:r>
        <w:t>That t</w:t>
      </w:r>
      <w:r>
        <w:t>he Audit, Risk and Governance Committee work plan for 2023/24, as presented and reviewed, be noted.</w:t>
      </w:r>
    </w:p>
    <w:p w14:paraId="58D713AC" w14:textId="77777777" w:rsidR="005D542D" w:rsidRDefault="005D542D" w:rsidP="005D542D">
      <w:pPr>
        <w:jc w:val="both"/>
      </w:pPr>
    </w:p>
    <w:p w14:paraId="037910F8" w14:textId="77777777" w:rsidR="0091685E" w:rsidRPr="00B70430" w:rsidRDefault="0091685E" w:rsidP="005D542D">
      <w:pPr>
        <w:pStyle w:val="BodyText"/>
        <w:jc w:val="both"/>
        <w:rPr>
          <w:b/>
          <w:bCs w:val="0"/>
        </w:rPr>
      </w:pPr>
    </w:p>
    <w:p w14:paraId="3A8B0999" w14:textId="77777777" w:rsidR="004D21A8" w:rsidRDefault="004475BD" w:rsidP="005D542D">
      <w:pPr>
        <w:pStyle w:val="H2NoNumb"/>
        <w:spacing w:before="0"/>
        <w:jc w:val="both"/>
      </w:pPr>
      <w:r>
        <w:t>Part II (Not Open to Press and Public)</w:t>
      </w:r>
    </w:p>
    <w:p w14:paraId="02FC0F92" w14:textId="77777777" w:rsidR="004D21A8" w:rsidRDefault="004D21A8" w:rsidP="005D542D">
      <w:pPr>
        <w:pStyle w:val="BodyText"/>
        <w:jc w:val="both"/>
      </w:pPr>
    </w:p>
    <w:p w14:paraId="7A70F957" w14:textId="76275494" w:rsidR="005E1B56" w:rsidRPr="007B62B5" w:rsidRDefault="004475BD" w:rsidP="005D542D">
      <w:pPr>
        <w:jc w:val="both"/>
        <w:rPr>
          <w:b/>
          <w:caps/>
          <w:sz w:val="28"/>
          <w:szCs w:val="28"/>
        </w:rPr>
      </w:pPr>
      <w:r>
        <w:rPr>
          <w:rFonts w:cs="Arial"/>
          <w:b/>
          <w:szCs w:val="28"/>
        </w:rPr>
        <w:t xml:space="preserve">Appendix 'B' to Item </w:t>
      </w:r>
      <w:r w:rsidR="005D542D">
        <w:rPr>
          <w:rFonts w:cs="Arial"/>
          <w:b/>
          <w:szCs w:val="28"/>
        </w:rPr>
        <w:t>14</w:t>
      </w:r>
      <w:r>
        <w:rPr>
          <w:rFonts w:cs="Arial"/>
          <w:b/>
          <w:szCs w:val="28"/>
        </w:rPr>
        <w:t xml:space="preserve"> - Corporate Risk and Opportunity Register - Quarter </w:t>
      </w:r>
      <w:r w:rsidR="005D542D">
        <w:rPr>
          <w:rFonts w:cs="Arial"/>
          <w:b/>
          <w:szCs w:val="28"/>
        </w:rPr>
        <w:t>1</w:t>
      </w:r>
      <w:r>
        <w:rPr>
          <w:rFonts w:cs="Arial"/>
          <w:b/>
          <w:szCs w:val="28"/>
        </w:rPr>
        <w:t xml:space="preserve"> Update</w:t>
      </w:r>
    </w:p>
    <w:p w14:paraId="3B076915" w14:textId="77777777" w:rsidR="004D21A8" w:rsidRDefault="004D21A8" w:rsidP="005D542D">
      <w:pPr>
        <w:pStyle w:val="BodyText"/>
        <w:jc w:val="both"/>
      </w:pPr>
    </w:p>
    <w:p w14:paraId="715C363C" w14:textId="77777777" w:rsidR="005E1B56" w:rsidRDefault="004475BD" w:rsidP="005D542D">
      <w:pPr>
        <w:jc w:val="both"/>
      </w:pPr>
      <w:r>
        <w:t>(Not for Publication – Exemp</w:t>
      </w:r>
      <w:r>
        <w:t>t information as defined in Paragraphs 3 and 7 of Part 1 of Schedule 12A to the Local Government Act, 1972. It is considered that in all the circumstances of the case the public interest in maintaining the exemption outweighs the public interests in disclo</w:t>
      </w:r>
      <w:r>
        <w:t>sing the information).</w:t>
      </w:r>
    </w:p>
    <w:p w14:paraId="79999A0C" w14:textId="77777777" w:rsidR="005E1B56" w:rsidRDefault="005E1B56" w:rsidP="005D542D">
      <w:pPr>
        <w:jc w:val="both"/>
      </w:pPr>
    </w:p>
    <w:p w14:paraId="368DEC70" w14:textId="77777777" w:rsidR="005D542D" w:rsidRDefault="004475BD" w:rsidP="005D542D">
      <w:pPr>
        <w:jc w:val="both"/>
        <w:rPr>
          <w:rFonts w:cs="Arial"/>
        </w:rPr>
      </w:pPr>
      <w:r>
        <w:rPr>
          <w:rFonts w:cs="Arial"/>
        </w:rPr>
        <w:t>The committee considered the private and confidential Appendix B to Item 14 – Corporate Risk and Opportunity Register – Quarter 1 Update.</w:t>
      </w:r>
    </w:p>
    <w:p w14:paraId="7DB45DEC" w14:textId="77777777" w:rsidR="005D542D" w:rsidRDefault="005D542D" w:rsidP="005D542D">
      <w:pPr>
        <w:pStyle w:val="ListParagraph"/>
        <w:ind w:left="0"/>
        <w:jc w:val="both"/>
        <w:rPr>
          <w:rFonts w:cs="Arial"/>
        </w:rPr>
      </w:pPr>
    </w:p>
    <w:p w14:paraId="0B8433C1" w14:textId="77777777" w:rsidR="005D542D" w:rsidRDefault="004475BD" w:rsidP="005D542D">
      <w:pPr>
        <w:jc w:val="both"/>
        <w:rPr>
          <w:rFonts w:cs="Arial"/>
        </w:rPr>
      </w:pPr>
      <w:r>
        <w:rPr>
          <w:rFonts w:cs="Arial"/>
          <w:b/>
          <w:bCs w:val="0"/>
        </w:rPr>
        <w:t xml:space="preserve">Resolved: </w:t>
      </w:r>
      <w:r>
        <w:rPr>
          <w:rFonts w:cs="Arial"/>
        </w:rPr>
        <w:t>That</w:t>
      </w:r>
    </w:p>
    <w:p w14:paraId="69C220E4" w14:textId="77777777" w:rsidR="005D542D" w:rsidRDefault="005D542D" w:rsidP="005D542D">
      <w:pPr>
        <w:jc w:val="both"/>
        <w:rPr>
          <w:rFonts w:cs="Arial"/>
        </w:rPr>
      </w:pPr>
    </w:p>
    <w:p w14:paraId="5774CA5B" w14:textId="77777777" w:rsidR="005D542D" w:rsidRDefault="004475BD" w:rsidP="005D542D">
      <w:pPr>
        <w:numPr>
          <w:ilvl w:val="0"/>
          <w:numId w:val="11"/>
        </w:numPr>
        <w:jc w:val="both"/>
        <w:rPr>
          <w:rFonts w:cs="Arial"/>
        </w:rPr>
      </w:pPr>
      <w:r>
        <w:rPr>
          <w:rFonts w:cs="Arial"/>
        </w:rPr>
        <w:t xml:space="preserve">Appendix B to Item 14 – Corporate Risk and Opportunity Register – </w:t>
      </w:r>
      <w:r>
        <w:rPr>
          <w:rFonts w:cs="Arial"/>
        </w:rPr>
        <w:t>Quarter 1 Update, be noted; and</w:t>
      </w:r>
    </w:p>
    <w:p w14:paraId="3683E4BE" w14:textId="77777777" w:rsidR="005D542D" w:rsidRDefault="005D542D" w:rsidP="005D542D">
      <w:pPr>
        <w:ind w:left="720"/>
        <w:jc w:val="both"/>
        <w:rPr>
          <w:rFonts w:cs="Arial"/>
        </w:rPr>
      </w:pPr>
    </w:p>
    <w:p w14:paraId="7CEB2523" w14:textId="77777777" w:rsidR="005D542D" w:rsidRDefault="004475BD" w:rsidP="005D542D">
      <w:pPr>
        <w:numPr>
          <w:ilvl w:val="0"/>
          <w:numId w:val="11"/>
        </w:numPr>
        <w:jc w:val="both"/>
        <w:rPr>
          <w:rFonts w:cs="Arial"/>
        </w:rPr>
      </w:pPr>
      <w:r>
        <w:rPr>
          <w:rFonts w:cs="Arial"/>
        </w:rPr>
        <w:t>A specific report on Risk CORP6 – cyber security be provided at a future committee meeting, following discussion with the service.</w:t>
      </w:r>
    </w:p>
    <w:p w14:paraId="19A88FC0" w14:textId="0C8249EC" w:rsidR="005E1B56" w:rsidRDefault="005E1B56" w:rsidP="005D542D">
      <w:pPr>
        <w:jc w:val="both"/>
      </w:pPr>
    </w:p>
    <w:p w14:paraId="7D5A941C" w14:textId="007CF27C" w:rsidR="005D542D" w:rsidRDefault="004475BD" w:rsidP="005D542D">
      <w:pPr>
        <w:jc w:val="both"/>
        <w:rPr>
          <w:rFonts w:cs="Arial"/>
          <w:b/>
          <w:szCs w:val="28"/>
        </w:rPr>
      </w:pPr>
      <w:r>
        <w:rPr>
          <w:rFonts w:cs="Arial"/>
          <w:b/>
          <w:szCs w:val="28"/>
        </w:rPr>
        <w:t>Counter Fraud, Special Investigations and Whistleblowing Annual Report</w:t>
      </w:r>
    </w:p>
    <w:p w14:paraId="546F2E53" w14:textId="26EDB0B1" w:rsidR="005D542D" w:rsidRDefault="005D542D" w:rsidP="005D542D">
      <w:pPr>
        <w:jc w:val="both"/>
        <w:rPr>
          <w:rFonts w:cs="Arial"/>
          <w:bCs w:val="0"/>
          <w:szCs w:val="28"/>
        </w:rPr>
      </w:pPr>
    </w:p>
    <w:p w14:paraId="07A04D4C" w14:textId="67450121" w:rsidR="005D542D" w:rsidRDefault="004475BD" w:rsidP="005D542D">
      <w:pPr>
        <w:jc w:val="both"/>
        <w:rPr>
          <w:rFonts w:cs="Arial"/>
        </w:rPr>
      </w:pPr>
      <w:r>
        <w:rPr>
          <w:rFonts w:cs="Arial"/>
        </w:rPr>
        <w:t>(N</w:t>
      </w:r>
      <w:r>
        <w:rPr>
          <w:rFonts w:cs="Arial"/>
        </w:rPr>
        <w:t xml:space="preserve">ot for Publication - Exempt information as defined in Paragraphs 2, 3 and 7 of Part 1 of Schedule 12A to the Local Government Act, 1972. It is considered that in all the </w:t>
      </w:r>
      <w:r>
        <w:rPr>
          <w:rFonts w:cs="Arial"/>
        </w:rPr>
        <w:lastRenderedPageBreak/>
        <w:t>circumstances of the case the public interest in maintaining the exemption outweighs t</w:t>
      </w:r>
      <w:r>
        <w:rPr>
          <w:rFonts w:cs="Arial"/>
        </w:rPr>
        <w:t>he public interest in disclosing the information.)</w:t>
      </w:r>
    </w:p>
    <w:p w14:paraId="5D492E12" w14:textId="77777777" w:rsidR="005D542D" w:rsidRDefault="005D542D" w:rsidP="005D542D">
      <w:pPr>
        <w:jc w:val="both"/>
        <w:rPr>
          <w:rFonts w:cs="Arial"/>
          <w:bCs w:val="0"/>
          <w:szCs w:val="28"/>
        </w:rPr>
      </w:pPr>
    </w:p>
    <w:p w14:paraId="6A0307AB" w14:textId="22D1A03A" w:rsidR="005D542D" w:rsidRDefault="004475BD" w:rsidP="005D542D">
      <w:pPr>
        <w:jc w:val="both"/>
        <w:rPr>
          <w:rFonts w:cs="Arial"/>
        </w:rPr>
      </w:pPr>
      <w:r>
        <w:rPr>
          <w:rFonts w:cs="Arial"/>
          <w:bCs w:val="0"/>
          <w:szCs w:val="28"/>
        </w:rPr>
        <w:t xml:space="preserve">The committee considered a private and confidential report presented by Peter Walker, </w:t>
      </w:r>
      <w:r>
        <w:rPr>
          <w:rFonts w:cs="Arial"/>
        </w:rPr>
        <w:t>Investigations Manager and Money Laundering Reporting Officer which outlined the current fraud risk landscape, a summa</w:t>
      </w:r>
      <w:r>
        <w:rPr>
          <w:rFonts w:cs="Arial"/>
        </w:rPr>
        <w:t>ry of fraud investigations completed and whistleblowing complaints received in 2022/23, and details of the Internal Audit Service's ongoing and planned anti-fraud work.</w:t>
      </w:r>
    </w:p>
    <w:p w14:paraId="5EFCA7E9" w14:textId="1DC2837E" w:rsidR="009777F2" w:rsidRDefault="009777F2" w:rsidP="005D542D">
      <w:pPr>
        <w:jc w:val="both"/>
        <w:rPr>
          <w:rFonts w:cs="Arial"/>
        </w:rPr>
      </w:pPr>
    </w:p>
    <w:p w14:paraId="4A3B3730" w14:textId="5114D11E" w:rsidR="009777F2" w:rsidRPr="009777F2" w:rsidRDefault="004475BD" w:rsidP="005D542D">
      <w:pPr>
        <w:jc w:val="both"/>
        <w:rPr>
          <w:rFonts w:cs="Arial"/>
        </w:rPr>
      </w:pPr>
      <w:r>
        <w:rPr>
          <w:rFonts w:cs="Arial"/>
          <w:b/>
          <w:bCs w:val="0"/>
        </w:rPr>
        <w:t>Resolved:</w:t>
      </w:r>
      <w:r>
        <w:rPr>
          <w:rFonts w:cs="Arial"/>
        </w:rPr>
        <w:t xml:space="preserve"> That the Counter Fraud, Special Investigations and Whistleblowing Annual Rep</w:t>
      </w:r>
      <w:r>
        <w:rPr>
          <w:rFonts w:cs="Arial"/>
        </w:rPr>
        <w:t>ort be noted.</w:t>
      </w:r>
    </w:p>
    <w:sectPr w:rsidR="009777F2" w:rsidRPr="009777F2" w:rsidSect="00C756A1">
      <w:footerReference w:type="even" r:id="rId8"/>
      <w:footerReference w:type="default" r:id="rId9"/>
      <w:headerReference w:type="first" r:id="rId10"/>
      <w:footerReference w:type="first" r:id="rId11"/>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145E" w14:textId="77777777" w:rsidR="00000000" w:rsidRDefault="004475BD">
      <w:r>
        <w:separator/>
      </w:r>
    </w:p>
  </w:endnote>
  <w:endnote w:type="continuationSeparator" w:id="0">
    <w:p w14:paraId="4DE14C0A" w14:textId="77777777" w:rsidR="00000000" w:rsidRDefault="0044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92AA" w14:textId="77777777" w:rsidR="00D74129" w:rsidRDefault="004475BD"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0B6A8F"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8E16" w14:textId="1C05C331"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B714A" w14:paraId="7095D284" w14:textId="77777777">
      <w:tc>
        <w:tcPr>
          <w:tcW w:w="9243" w:type="dxa"/>
          <w:tcBorders>
            <w:top w:val="nil"/>
            <w:left w:val="nil"/>
            <w:bottom w:val="nil"/>
            <w:right w:val="nil"/>
          </w:tcBorders>
        </w:tcPr>
        <w:p w14:paraId="0D32CAAC" w14:textId="77777777" w:rsidR="00DF043B" w:rsidRDefault="004475BD">
          <w:pPr>
            <w:pStyle w:val="Footer"/>
            <w:tabs>
              <w:tab w:val="clear" w:pos="4153"/>
            </w:tabs>
            <w:ind w:right="-45"/>
            <w:jc w:val="right"/>
          </w:pPr>
          <w:r>
            <w:rPr>
              <w:noProof/>
            </w:rPr>
            <w:drawing>
              <wp:anchor distT="0" distB="0" distL="114300" distR="114300" simplePos="0" relativeHeight="251656704" behindDoc="1" locked="0" layoutInCell="1" allowOverlap="1">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3EBA0E56"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6889" w14:textId="793B0328"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B714A" w14:paraId="02D602DD" w14:textId="77777777">
      <w:tc>
        <w:tcPr>
          <w:tcW w:w="9243" w:type="dxa"/>
          <w:tcBorders>
            <w:top w:val="nil"/>
            <w:left w:val="nil"/>
            <w:bottom w:val="nil"/>
            <w:right w:val="nil"/>
          </w:tcBorders>
        </w:tcPr>
        <w:p w14:paraId="2B37481B" w14:textId="77777777" w:rsidR="0036487C" w:rsidRDefault="0036487C" w:rsidP="004D419B">
          <w:pPr>
            <w:pStyle w:val="Footer"/>
            <w:tabs>
              <w:tab w:val="clear" w:pos="4153"/>
            </w:tabs>
            <w:ind w:right="-45"/>
            <w:jc w:val="right"/>
          </w:pPr>
        </w:p>
      </w:tc>
    </w:tr>
  </w:tbl>
  <w:p w14:paraId="67387D99" w14:textId="77777777" w:rsidR="00DF043B" w:rsidRPr="0036487C" w:rsidRDefault="004475BD" w:rsidP="0036487C">
    <w:pPr>
      <w:pStyle w:val="Footer"/>
    </w:pPr>
    <w:r>
      <w:rPr>
        <w:noProof/>
      </w:rPr>
      <w:drawing>
        <wp:anchor distT="0" distB="0" distL="114300" distR="114300" simplePos="0" relativeHeight="251658752" behindDoc="1" locked="0" layoutInCell="1" allowOverlap="1">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DDB6" w14:textId="77777777" w:rsidR="00000000" w:rsidRDefault="004475BD">
      <w:r>
        <w:separator/>
      </w:r>
    </w:p>
  </w:footnote>
  <w:footnote w:type="continuationSeparator" w:id="0">
    <w:p w14:paraId="7BDF5B84" w14:textId="77777777" w:rsidR="00000000" w:rsidRDefault="0044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3DDB" w14:textId="77777777" w:rsidR="00841033" w:rsidRDefault="004475BD">
    <w:pPr>
      <w:pStyle w:val="Header"/>
    </w:pPr>
    <w:r>
      <w:rPr>
        <w:noProof/>
      </w:rPr>
      <w:drawing>
        <wp:anchor distT="0" distB="0" distL="114300" distR="114300" simplePos="0" relativeHeight="251657728" behindDoc="1" locked="0" layoutInCell="1" allowOverlap="1">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45B"/>
    <w:multiLevelType w:val="hybridMultilevel"/>
    <w:tmpl w:val="5F687E96"/>
    <w:lvl w:ilvl="0" w:tplc="6CF20C12">
      <w:start w:val="1"/>
      <w:numFmt w:val="lowerRoman"/>
      <w:lvlText w:val="%1)"/>
      <w:lvlJc w:val="left"/>
      <w:pPr>
        <w:ind w:left="720" w:hanging="720"/>
      </w:pPr>
      <w:rPr>
        <w:rFonts w:hint="default"/>
      </w:rPr>
    </w:lvl>
    <w:lvl w:ilvl="1" w:tplc="5088F4C0" w:tentative="1">
      <w:start w:val="1"/>
      <w:numFmt w:val="lowerLetter"/>
      <w:lvlText w:val="%2."/>
      <w:lvlJc w:val="left"/>
      <w:pPr>
        <w:ind w:left="1080" w:hanging="360"/>
      </w:pPr>
    </w:lvl>
    <w:lvl w:ilvl="2" w:tplc="EF46DF8E" w:tentative="1">
      <w:start w:val="1"/>
      <w:numFmt w:val="lowerRoman"/>
      <w:lvlText w:val="%3."/>
      <w:lvlJc w:val="right"/>
      <w:pPr>
        <w:ind w:left="1800" w:hanging="180"/>
      </w:pPr>
    </w:lvl>
    <w:lvl w:ilvl="3" w:tplc="CEB0C3A2" w:tentative="1">
      <w:start w:val="1"/>
      <w:numFmt w:val="decimal"/>
      <w:lvlText w:val="%4."/>
      <w:lvlJc w:val="left"/>
      <w:pPr>
        <w:ind w:left="2520" w:hanging="360"/>
      </w:pPr>
    </w:lvl>
    <w:lvl w:ilvl="4" w:tplc="91BC7800" w:tentative="1">
      <w:start w:val="1"/>
      <w:numFmt w:val="lowerLetter"/>
      <w:lvlText w:val="%5."/>
      <w:lvlJc w:val="left"/>
      <w:pPr>
        <w:ind w:left="3240" w:hanging="360"/>
      </w:pPr>
    </w:lvl>
    <w:lvl w:ilvl="5" w:tplc="04DCDDD6" w:tentative="1">
      <w:start w:val="1"/>
      <w:numFmt w:val="lowerRoman"/>
      <w:lvlText w:val="%6."/>
      <w:lvlJc w:val="right"/>
      <w:pPr>
        <w:ind w:left="3960" w:hanging="180"/>
      </w:pPr>
    </w:lvl>
    <w:lvl w:ilvl="6" w:tplc="E862748C" w:tentative="1">
      <w:start w:val="1"/>
      <w:numFmt w:val="decimal"/>
      <w:lvlText w:val="%7."/>
      <w:lvlJc w:val="left"/>
      <w:pPr>
        <w:ind w:left="4680" w:hanging="360"/>
      </w:pPr>
    </w:lvl>
    <w:lvl w:ilvl="7" w:tplc="78002DF2" w:tentative="1">
      <w:start w:val="1"/>
      <w:numFmt w:val="lowerLetter"/>
      <w:lvlText w:val="%8."/>
      <w:lvlJc w:val="left"/>
      <w:pPr>
        <w:ind w:left="5400" w:hanging="360"/>
      </w:pPr>
    </w:lvl>
    <w:lvl w:ilvl="8" w:tplc="0268CBC8" w:tentative="1">
      <w:start w:val="1"/>
      <w:numFmt w:val="lowerRoman"/>
      <w:lvlText w:val="%9."/>
      <w:lvlJc w:val="right"/>
      <w:pPr>
        <w:ind w:left="6120" w:hanging="180"/>
      </w:pPr>
    </w:lvl>
  </w:abstractNum>
  <w:abstractNum w:abstractNumId="1"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5E40697"/>
    <w:multiLevelType w:val="hybridMultilevel"/>
    <w:tmpl w:val="613CCEFA"/>
    <w:lvl w:ilvl="0" w:tplc="5BBEFF22">
      <w:start w:val="1"/>
      <w:numFmt w:val="decimal"/>
      <w:lvlText w:val="%1."/>
      <w:lvlJc w:val="left"/>
      <w:pPr>
        <w:ind w:left="720" w:hanging="360"/>
      </w:pPr>
      <w:rPr>
        <w:b/>
        <w:bCs w:val="0"/>
      </w:rPr>
    </w:lvl>
    <w:lvl w:ilvl="1" w:tplc="789ECD36" w:tentative="1">
      <w:start w:val="1"/>
      <w:numFmt w:val="lowerLetter"/>
      <w:lvlText w:val="%2."/>
      <w:lvlJc w:val="left"/>
      <w:pPr>
        <w:ind w:left="1440" w:hanging="360"/>
      </w:pPr>
    </w:lvl>
    <w:lvl w:ilvl="2" w:tplc="365CE3D2" w:tentative="1">
      <w:start w:val="1"/>
      <w:numFmt w:val="lowerRoman"/>
      <w:lvlText w:val="%3."/>
      <w:lvlJc w:val="right"/>
      <w:pPr>
        <w:ind w:left="2160" w:hanging="180"/>
      </w:pPr>
    </w:lvl>
    <w:lvl w:ilvl="3" w:tplc="802C8C96" w:tentative="1">
      <w:start w:val="1"/>
      <w:numFmt w:val="decimal"/>
      <w:lvlText w:val="%4."/>
      <w:lvlJc w:val="left"/>
      <w:pPr>
        <w:ind w:left="2880" w:hanging="360"/>
      </w:pPr>
    </w:lvl>
    <w:lvl w:ilvl="4" w:tplc="00EA700C" w:tentative="1">
      <w:start w:val="1"/>
      <w:numFmt w:val="lowerLetter"/>
      <w:lvlText w:val="%5."/>
      <w:lvlJc w:val="left"/>
      <w:pPr>
        <w:ind w:left="3600" w:hanging="360"/>
      </w:pPr>
    </w:lvl>
    <w:lvl w:ilvl="5" w:tplc="D6B6C6BE" w:tentative="1">
      <w:start w:val="1"/>
      <w:numFmt w:val="lowerRoman"/>
      <w:lvlText w:val="%6."/>
      <w:lvlJc w:val="right"/>
      <w:pPr>
        <w:ind w:left="4320" w:hanging="180"/>
      </w:pPr>
    </w:lvl>
    <w:lvl w:ilvl="6" w:tplc="239EE608" w:tentative="1">
      <w:start w:val="1"/>
      <w:numFmt w:val="decimal"/>
      <w:lvlText w:val="%7."/>
      <w:lvlJc w:val="left"/>
      <w:pPr>
        <w:ind w:left="5040" w:hanging="360"/>
      </w:pPr>
    </w:lvl>
    <w:lvl w:ilvl="7" w:tplc="3C62EB94" w:tentative="1">
      <w:start w:val="1"/>
      <w:numFmt w:val="lowerLetter"/>
      <w:lvlText w:val="%8."/>
      <w:lvlJc w:val="left"/>
      <w:pPr>
        <w:ind w:left="5760" w:hanging="360"/>
      </w:pPr>
    </w:lvl>
    <w:lvl w:ilvl="8" w:tplc="20ACC906" w:tentative="1">
      <w:start w:val="1"/>
      <w:numFmt w:val="lowerRoman"/>
      <w:lvlText w:val="%9."/>
      <w:lvlJc w:val="right"/>
      <w:pPr>
        <w:ind w:left="6480" w:hanging="180"/>
      </w:pPr>
    </w:lvl>
  </w:abstractNum>
  <w:abstractNum w:abstractNumId="3" w15:restartNumberingAfterBreak="0">
    <w:nsid w:val="22EC6C33"/>
    <w:multiLevelType w:val="hybridMultilevel"/>
    <w:tmpl w:val="3F0287B6"/>
    <w:lvl w:ilvl="0" w:tplc="75E6522C">
      <w:start w:val="1"/>
      <w:numFmt w:val="lowerRoman"/>
      <w:lvlText w:val="%1)"/>
      <w:lvlJc w:val="left"/>
      <w:pPr>
        <w:ind w:left="720" w:hanging="720"/>
      </w:pPr>
      <w:rPr>
        <w:rFonts w:hint="default"/>
      </w:rPr>
    </w:lvl>
    <w:lvl w:ilvl="1" w:tplc="C276D4B6" w:tentative="1">
      <w:start w:val="1"/>
      <w:numFmt w:val="lowerLetter"/>
      <w:lvlText w:val="%2."/>
      <w:lvlJc w:val="left"/>
      <w:pPr>
        <w:ind w:left="1080" w:hanging="360"/>
      </w:pPr>
    </w:lvl>
    <w:lvl w:ilvl="2" w:tplc="D00AACAA" w:tentative="1">
      <w:start w:val="1"/>
      <w:numFmt w:val="lowerRoman"/>
      <w:lvlText w:val="%3."/>
      <w:lvlJc w:val="right"/>
      <w:pPr>
        <w:ind w:left="1800" w:hanging="180"/>
      </w:pPr>
    </w:lvl>
    <w:lvl w:ilvl="3" w:tplc="996C4022" w:tentative="1">
      <w:start w:val="1"/>
      <w:numFmt w:val="decimal"/>
      <w:lvlText w:val="%4."/>
      <w:lvlJc w:val="left"/>
      <w:pPr>
        <w:ind w:left="2520" w:hanging="360"/>
      </w:pPr>
    </w:lvl>
    <w:lvl w:ilvl="4" w:tplc="DFB82B44" w:tentative="1">
      <w:start w:val="1"/>
      <w:numFmt w:val="lowerLetter"/>
      <w:lvlText w:val="%5."/>
      <w:lvlJc w:val="left"/>
      <w:pPr>
        <w:ind w:left="3240" w:hanging="360"/>
      </w:pPr>
    </w:lvl>
    <w:lvl w:ilvl="5" w:tplc="426EDC6C" w:tentative="1">
      <w:start w:val="1"/>
      <w:numFmt w:val="lowerRoman"/>
      <w:lvlText w:val="%6."/>
      <w:lvlJc w:val="right"/>
      <w:pPr>
        <w:ind w:left="3960" w:hanging="180"/>
      </w:pPr>
    </w:lvl>
    <w:lvl w:ilvl="6" w:tplc="C8562CBC" w:tentative="1">
      <w:start w:val="1"/>
      <w:numFmt w:val="decimal"/>
      <w:lvlText w:val="%7."/>
      <w:lvlJc w:val="left"/>
      <w:pPr>
        <w:ind w:left="4680" w:hanging="360"/>
      </w:pPr>
    </w:lvl>
    <w:lvl w:ilvl="7" w:tplc="783AA58A" w:tentative="1">
      <w:start w:val="1"/>
      <w:numFmt w:val="lowerLetter"/>
      <w:lvlText w:val="%8."/>
      <w:lvlJc w:val="left"/>
      <w:pPr>
        <w:ind w:left="5400" w:hanging="360"/>
      </w:pPr>
    </w:lvl>
    <w:lvl w:ilvl="8" w:tplc="33EA10DA" w:tentative="1">
      <w:start w:val="1"/>
      <w:numFmt w:val="lowerRoman"/>
      <w:lvlText w:val="%9."/>
      <w:lvlJc w:val="right"/>
      <w:pPr>
        <w:ind w:left="6120" w:hanging="180"/>
      </w:pPr>
    </w:lvl>
  </w:abstractNum>
  <w:abstractNum w:abstractNumId="4" w15:restartNumberingAfterBreak="0">
    <w:nsid w:val="24F50B23"/>
    <w:multiLevelType w:val="hybridMultilevel"/>
    <w:tmpl w:val="4784E8FC"/>
    <w:lvl w:ilvl="0" w:tplc="2C7875BA">
      <w:start w:val="1"/>
      <w:numFmt w:val="lowerRoman"/>
      <w:lvlText w:val="%1)"/>
      <w:lvlJc w:val="left"/>
      <w:pPr>
        <w:ind w:left="720" w:hanging="720"/>
      </w:pPr>
      <w:rPr>
        <w:rFonts w:hint="default"/>
      </w:rPr>
    </w:lvl>
    <w:lvl w:ilvl="1" w:tplc="E482E9D2" w:tentative="1">
      <w:start w:val="1"/>
      <w:numFmt w:val="lowerLetter"/>
      <w:lvlText w:val="%2."/>
      <w:lvlJc w:val="left"/>
      <w:pPr>
        <w:ind w:left="1080" w:hanging="360"/>
      </w:pPr>
    </w:lvl>
    <w:lvl w:ilvl="2" w:tplc="C74A039C" w:tentative="1">
      <w:start w:val="1"/>
      <w:numFmt w:val="lowerRoman"/>
      <w:lvlText w:val="%3."/>
      <w:lvlJc w:val="right"/>
      <w:pPr>
        <w:ind w:left="1800" w:hanging="180"/>
      </w:pPr>
    </w:lvl>
    <w:lvl w:ilvl="3" w:tplc="B1BA9952" w:tentative="1">
      <w:start w:val="1"/>
      <w:numFmt w:val="decimal"/>
      <w:lvlText w:val="%4."/>
      <w:lvlJc w:val="left"/>
      <w:pPr>
        <w:ind w:left="2520" w:hanging="360"/>
      </w:pPr>
    </w:lvl>
    <w:lvl w:ilvl="4" w:tplc="6D7C93E6" w:tentative="1">
      <w:start w:val="1"/>
      <w:numFmt w:val="lowerLetter"/>
      <w:lvlText w:val="%5."/>
      <w:lvlJc w:val="left"/>
      <w:pPr>
        <w:ind w:left="3240" w:hanging="360"/>
      </w:pPr>
    </w:lvl>
    <w:lvl w:ilvl="5" w:tplc="74AED09A" w:tentative="1">
      <w:start w:val="1"/>
      <w:numFmt w:val="lowerRoman"/>
      <w:lvlText w:val="%6."/>
      <w:lvlJc w:val="right"/>
      <w:pPr>
        <w:ind w:left="3960" w:hanging="180"/>
      </w:pPr>
    </w:lvl>
    <w:lvl w:ilvl="6" w:tplc="470CE92C" w:tentative="1">
      <w:start w:val="1"/>
      <w:numFmt w:val="decimal"/>
      <w:lvlText w:val="%7."/>
      <w:lvlJc w:val="left"/>
      <w:pPr>
        <w:ind w:left="4680" w:hanging="360"/>
      </w:pPr>
    </w:lvl>
    <w:lvl w:ilvl="7" w:tplc="050E614E" w:tentative="1">
      <w:start w:val="1"/>
      <w:numFmt w:val="lowerLetter"/>
      <w:lvlText w:val="%8."/>
      <w:lvlJc w:val="left"/>
      <w:pPr>
        <w:ind w:left="5400" w:hanging="360"/>
      </w:pPr>
    </w:lvl>
    <w:lvl w:ilvl="8" w:tplc="424260AE" w:tentative="1">
      <w:start w:val="1"/>
      <w:numFmt w:val="lowerRoman"/>
      <w:lvlText w:val="%9."/>
      <w:lvlJc w:val="right"/>
      <w:pPr>
        <w:ind w:left="6120" w:hanging="180"/>
      </w:pPr>
    </w:lvl>
  </w:abstractNum>
  <w:abstractNum w:abstractNumId="5" w15:restartNumberingAfterBreak="0">
    <w:nsid w:val="31CA5D01"/>
    <w:multiLevelType w:val="hybridMultilevel"/>
    <w:tmpl w:val="B04AB914"/>
    <w:lvl w:ilvl="0" w:tplc="74A8B258">
      <w:start w:val="1"/>
      <w:numFmt w:val="lowerRoman"/>
      <w:lvlText w:val="%1)"/>
      <w:lvlJc w:val="left"/>
      <w:rPr>
        <w:rFonts w:hint="default"/>
        <w:color w:val="auto"/>
      </w:rPr>
    </w:lvl>
    <w:lvl w:ilvl="1" w:tplc="6DEA24E6" w:tentative="1">
      <w:start w:val="1"/>
      <w:numFmt w:val="lowerLetter"/>
      <w:lvlText w:val="%2."/>
      <w:lvlJc w:val="left"/>
      <w:pPr>
        <w:ind w:left="1080" w:hanging="360"/>
      </w:pPr>
    </w:lvl>
    <w:lvl w:ilvl="2" w:tplc="E11449FE" w:tentative="1">
      <w:start w:val="1"/>
      <w:numFmt w:val="lowerRoman"/>
      <w:lvlText w:val="%3."/>
      <w:lvlJc w:val="right"/>
      <w:pPr>
        <w:ind w:left="1800" w:hanging="180"/>
      </w:pPr>
    </w:lvl>
    <w:lvl w:ilvl="3" w:tplc="ED020C6E" w:tentative="1">
      <w:start w:val="1"/>
      <w:numFmt w:val="decimal"/>
      <w:lvlText w:val="%4."/>
      <w:lvlJc w:val="left"/>
      <w:pPr>
        <w:ind w:left="2520" w:hanging="360"/>
      </w:pPr>
    </w:lvl>
    <w:lvl w:ilvl="4" w:tplc="1B1A1E4C" w:tentative="1">
      <w:start w:val="1"/>
      <w:numFmt w:val="lowerLetter"/>
      <w:lvlText w:val="%5."/>
      <w:lvlJc w:val="left"/>
      <w:pPr>
        <w:ind w:left="3240" w:hanging="360"/>
      </w:pPr>
    </w:lvl>
    <w:lvl w:ilvl="5" w:tplc="BA34DA42" w:tentative="1">
      <w:start w:val="1"/>
      <w:numFmt w:val="lowerRoman"/>
      <w:lvlText w:val="%6."/>
      <w:lvlJc w:val="right"/>
      <w:pPr>
        <w:ind w:left="3960" w:hanging="180"/>
      </w:pPr>
    </w:lvl>
    <w:lvl w:ilvl="6" w:tplc="AAA4F1CE" w:tentative="1">
      <w:start w:val="1"/>
      <w:numFmt w:val="decimal"/>
      <w:lvlText w:val="%7."/>
      <w:lvlJc w:val="left"/>
      <w:pPr>
        <w:ind w:left="4680" w:hanging="360"/>
      </w:pPr>
    </w:lvl>
    <w:lvl w:ilvl="7" w:tplc="0AEA38F0" w:tentative="1">
      <w:start w:val="1"/>
      <w:numFmt w:val="lowerLetter"/>
      <w:lvlText w:val="%8."/>
      <w:lvlJc w:val="left"/>
      <w:pPr>
        <w:ind w:left="5400" w:hanging="360"/>
      </w:pPr>
    </w:lvl>
    <w:lvl w:ilvl="8" w:tplc="97F8AC26" w:tentative="1">
      <w:start w:val="1"/>
      <w:numFmt w:val="lowerRoman"/>
      <w:lvlText w:val="%9."/>
      <w:lvlJc w:val="right"/>
      <w:pPr>
        <w:ind w:left="6120" w:hanging="180"/>
      </w:pPr>
    </w:lvl>
  </w:abstractNum>
  <w:abstractNum w:abstractNumId="6" w15:restartNumberingAfterBreak="0">
    <w:nsid w:val="3CB479C9"/>
    <w:multiLevelType w:val="hybridMultilevel"/>
    <w:tmpl w:val="2F24CD0C"/>
    <w:lvl w:ilvl="0" w:tplc="60203926">
      <w:start w:val="1"/>
      <w:numFmt w:val="lowerRoman"/>
      <w:lvlText w:val="%1)"/>
      <w:lvlJc w:val="left"/>
      <w:pPr>
        <w:ind w:left="720" w:hanging="720"/>
      </w:pPr>
    </w:lvl>
    <w:lvl w:ilvl="1" w:tplc="F1665E96">
      <w:start w:val="1"/>
      <w:numFmt w:val="lowerLetter"/>
      <w:lvlText w:val="%2."/>
      <w:lvlJc w:val="left"/>
      <w:pPr>
        <w:ind w:left="1080" w:hanging="360"/>
      </w:pPr>
    </w:lvl>
    <w:lvl w:ilvl="2" w:tplc="22DCCEAA">
      <w:start w:val="1"/>
      <w:numFmt w:val="lowerRoman"/>
      <w:lvlText w:val="%3."/>
      <w:lvlJc w:val="right"/>
      <w:pPr>
        <w:ind w:left="1800" w:hanging="180"/>
      </w:pPr>
    </w:lvl>
    <w:lvl w:ilvl="3" w:tplc="EDFEA7EA">
      <w:start w:val="1"/>
      <w:numFmt w:val="decimal"/>
      <w:lvlText w:val="%4."/>
      <w:lvlJc w:val="left"/>
      <w:pPr>
        <w:ind w:left="2520" w:hanging="360"/>
      </w:pPr>
    </w:lvl>
    <w:lvl w:ilvl="4" w:tplc="6088CEC0">
      <w:start w:val="1"/>
      <w:numFmt w:val="lowerLetter"/>
      <w:lvlText w:val="%5."/>
      <w:lvlJc w:val="left"/>
      <w:pPr>
        <w:ind w:left="3240" w:hanging="360"/>
      </w:pPr>
    </w:lvl>
    <w:lvl w:ilvl="5" w:tplc="3FBEBE50">
      <w:start w:val="1"/>
      <w:numFmt w:val="lowerRoman"/>
      <w:lvlText w:val="%6."/>
      <w:lvlJc w:val="right"/>
      <w:pPr>
        <w:ind w:left="3960" w:hanging="180"/>
      </w:pPr>
    </w:lvl>
    <w:lvl w:ilvl="6" w:tplc="ADAAE020">
      <w:start w:val="1"/>
      <w:numFmt w:val="decimal"/>
      <w:lvlText w:val="%7."/>
      <w:lvlJc w:val="left"/>
      <w:pPr>
        <w:ind w:left="4680" w:hanging="360"/>
      </w:pPr>
    </w:lvl>
    <w:lvl w:ilvl="7" w:tplc="B6B023F6">
      <w:start w:val="1"/>
      <w:numFmt w:val="lowerLetter"/>
      <w:lvlText w:val="%8."/>
      <w:lvlJc w:val="left"/>
      <w:pPr>
        <w:ind w:left="5400" w:hanging="360"/>
      </w:pPr>
    </w:lvl>
    <w:lvl w:ilvl="8" w:tplc="D5B06A3A">
      <w:start w:val="1"/>
      <w:numFmt w:val="lowerRoman"/>
      <w:lvlText w:val="%9."/>
      <w:lvlJc w:val="right"/>
      <w:pPr>
        <w:ind w:left="6120" w:hanging="180"/>
      </w:pPr>
    </w:lvl>
  </w:abstractNum>
  <w:abstractNum w:abstractNumId="7" w15:restartNumberingAfterBreak="0">
    <w:nsid w:val="3DF658B9"/>
    <w:multiLevelType w:val="hybridMultilevel"/>
    <w:tmpl w:val="41DE35AA"/>
    <w:lvl w:ilvl="0" w:tplc="B8702F74">
      <w:start w:val="1"/>
      <w:numFmt w:val="lowerRoman"/>
      <w:lvlText w:val="%1)"/>
      <w:lvlJc w:val="left"/>
      <w:pPr>
        <w:ind w:left="720" w:hanging="720"/>
      </w:pPr>
    </w:lvl>
    <w:lvl w:ilvl="1" w:tplc="DA94FD96">
      <w:start w:val="1"/>
      <w:numFmt w:val="lowerLetter"/>
      <w:lvlText w:val="%2."/>
      <w:lvlJc w:val="left"/>
      <w:pPr>
        <w:ind w:left="1080" w:hanging="360"/>
      </w:pPr>
    </w:lvl>
    <w:lvl w:ilvl="2" w:tplc="1DDA798C">
      <w:start w:val="1"/>
      <w:numFmt w:val="lowerRoman"/>
      <w:lvlText w:val="%3."/>
      <w:lvlJc w:val="right"/>
      <w:pPr>
        <w:ind w:left="1800" w:hanging="180"/>
      </w:pPr>
    </w:lvl>
    <w:lvl w:ilvl="3" w:tplc="6AA6B8FE">
      <w:start w:val="1"/>
      <w:numFmt w:val="decimal"/>
      <w:lvlText w:val="%4."/>
      <w:lvlJc w:val="left"/>
      <w:pPr>
        <w:ind w:left="2520" w:hanging="360"/>
      </w:pPr>
    </w:lvl>
    <w:lvl w:ilvl="4" w:tplc="6F3A8090">
      <w:start w:val="1"/>
      <w:numFmt w:val="lowerLetter"/>
      <w:lvlText w:val="%5."/>
      <w:lvlJc w:val="left"/>
      <w:pPr>
        <w:ind w:left="3240" w:hanging="360"/>
      </w:pPr>
    </w:lvl>
    <w:lvl w:ilvl="5" w:tplc="76D0AAC6">
      <w:start w:val="1"/>
      <w:numFmt w:val="lowerRoman"/>
      <w:lvlText w:val="%6."/>
      <w:lvlJc w:val="right"/>
      <w:pPr>
        <w:ind w:left="3960" w:hanging="180"/>
      </w:pPr>
    </w:lvl>
    <w:lvl w:ilvl="6" w:tplc="F08240F6">
      <w:start w:val="1"/>
      <w:numFmt w:val="decimal"/>
      <w:lvlText w:val="%7."/>
      <w:lvlJc w:val="left"/>
      <w:pPr>
        <w:ind w:left="4680" w:hanging="360"/>
      </w:pPr>
    </w:lvl>
    <w:lvl w:ilvl="7" w:tplc="A56CBEBA">
      <w:start w:val="1"/>
      <w:numFmt w:val="lowerLetter"/>
      <w:lvlText w:val="%8."/>
      <w:lvlJc w:val="left"/>
      <w:pPr>
        <w:ind w:left="5400" w:hanging="360"/>
      </w:pPr>
    </w:lvl>
    <w:lvl w:ilvl="8" w:tplc="946431B6">
      <w:start w:val="1"/>
      <w:numFmt w:val="lowerRoman"/>
      <w:lvlText w:val="%9."/>
      <w:lvlJc w:val="right"/>
      <w:pPr>
        <w:ind w:left="6120" w:hanging="180"/>
      </w:pPr>
    </w:lvl>
  </w:abstractNum>
  <w:abstractNum w:abstractNumId="8" w15:restartNumberingAfterBreak="0">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B2A3CF0"/>
    <w:multiLevelType w:val="hybridMultilevel"/>
    <w:tmpl w:val="3AB242E0"/>
    <w:lvl w:ilvl="0" w:tplc="5B6A75D4">
      <w:start w:val="1"/>
      <w:numFmt w:val="lowerRoman"/>
      <w:lvlText w:val="%1)"/>
      <w:lvlJc w:val="left"/>
      <w:pPr>
        <w:ind w:left="720" w:hanging="720"/>
      </w:pPr>
    </w:lvl>
    <w:lvl w:ilvl="1" w:tplc="A26C7F78">
      <w:start w:val="1"/>
      <w:numFmt w:val="lowerLetter"/>
      <w:lvlText w:val="%2."/>
      <w:lvlJc w:val="left"/>
      <w:pPr>
        <w:ind w:left="1080" w:hanging="360"/>
      </w:pPr>
    </w:lvl>
    <w:lvl w:ilvl="2" w:tplc="A0A66CC4">
      <w:start w:val="1"/>
      <w:numFmt w:val="lowerRoman"/>
      <w:lvlText w:val="%3."/>
      <w:lvlJc w:val="right"/>
      <w:pPr>
        <w:ind w:left="1800" w:hanging="180"/>
      </w:pPr>
    </w:lvl>
    <w:lvl w:ilvl="3" w:tplc="3BD26970">
      <w:start w:val="1"/>
      <w:numFmt w:val="decimal"/>
      <w:lvlText w:val="%4."/>
      <w:lvlJc w:val="left"/>
      <w:pPr>
        <w:ind w:left="2520" w:hanging="360"/>
      </w:pPr>
    </w:lvl>
    <w:lvl w:ilvl="4" w:tplc="4E849270">
      <w:start w:val="1"/>
      <w:numFmt w:val="lowerLetter"/>
      <w:lvlText w:val="%5."/>
      <w:lvlJc w:val="left"/>
      <w:pPr>
        <w:ind w:left="3240" w:hanging="360"/>
      </w:pPr>
    </w:lvl>
    <w:lvl w:ilvl="5" w:tplc="71960526">
      <w:start w:val="1"/>
      <w:numFmt w:val="lowerRoman"/>
      <w:lvlText w:val="%6."/>
      <w:lvlJc w:val="right"/>
      <w:pPr>
        <w:ind w:left="3960" w:hanging="180"/>
      </w:pPr>
    </w:lvl>
    <w:lvl w:ilvl="6" w:tplc="FC2E0384">
      <w:start w:val="1"/>
      <w:numFmt w:val="decimal"/>
      <w:lvlText w:val="%7."/>
      <w:lvlJc w:val="left"/>
      <w:pPr>
        <w:ind w:left="4680" w:hanging="360"/>
      </w:pPr>
    </w:lvl>
    <w:lvl w:ilvl="7" w:tplc="1D3E5EA0">
      <w:start w:val="1"/>
      <w:numFmt w:val="lowerLetter"/>
      <w:lvlText w:val="%8."/>
      <w:lvlJc w:val="left"/>
      <w:pPr>
        <w:ind w:left="5400" w:hanging="360"/>
      </w:pPr>
    </w:lvl>
    <w:lvl w:ilvl="8" w:tplc="BE5ED148">
      <w:start w:val="1"/>
      <w:numFmt w:val="lowerRoman"/>
      <w:lvlText w:val="%9."/>
      <w:lvlJc w:val="right"/>
      <w:pPr>
        <w:ind w:left="6120" w:hanging="180"/>
      </w:pPr>
    </w:lvl>
  </w:abstractNum>
  <w:num w:numId="1" w16cid:durableId="325937678">
    <w:abstractNumId w:val="8"/>
  </w:num>
  <w:num w:numId="2" w16cid:durableId="631641133">
    <w:abstractNumId w:val="1"/>
  </w:num>
  <w:num w:numId="3" w16cid:durableId="1474367660">
    <w:abstractNumId w:val="1"/>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16cid:durableId="677655985">
    <w:abstractNumId w:val="2"/>
  </w:num>
  <w:num w:numId="5" w16cid:durableId="1078208035">
    <w:abstractNumId w:val="3"/>
  </w:num>
  <w:num w:numId="6" w16cid:durableId="1793863250">
    <w:abstractNumId w:val="4"/>
  </w:num>
  <w:num w:numId="7" w16cid:durableId="1801722321">
    <w:abstractNumId w:val="0"/>
  </w:num>
  <w:num w:numId="8" w16cid:durableId="1203058146">
    <w:abstractNumId w:val="5"/>
  </w:num>
  <w:num w:numId="9" w16cid:durableId="4724076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46744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63327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44FB9"/>
    <w:rsid w:val="0006363F"/>
    <w:rsid w:val="000955FB"/>
    <w:rsid w:val="000E24D7"/>
    <w:rsid w:val="00115DD8"/>
    <w:rsid w:val="00136344"/>
    <w:rsid w:val="00192EE0"/>
    <w:rsid w:val="00245237"/>
    <w:rsid w:val="0026742E"/>
    <w:rsid w:val="00273AE7"/>
    <w:rsid w:val="002A44DA"/>
    <w:rsid w:val="002B01EB"/>
    <w:rsid w:val="002B7F8E"/>
    <w:rsid w:val="003032CE"/>
    <w:rsid w:val="00312C95"/>
    <w:rsid w:val="003209AD"/>
    <w:rsid w:val="003254F5"/>
    <w:rsid w:val="00335E2C"/>
    <w:rsid w:val="0036387E"/>
    <w:rsid w:val="0036487C"/>
    <w:rsid w:val="003673AB"/>
    <w:rsid w:val="003A0AFD"/>
    <w:rsid w:val="003E73EC"/>
    <w:rsid w:val="00401E99"/>
    <w:rsid w:val="0040331B"/>
    <w:rsid w:val="004227B7"/>
    <w:rsid w:val="004475BD"/>
    <w:rsid w:val="0047244C"/>
    <w:rsid w:val="0048685D"/>
    <w:rsid w:val="004B4931"/>
    <w:rsid w:val="004D21A8"/>
    <w:rsid w:val="004D419B"/>
    <w:rsid w:val="004E138E"/>
    <w:rsid w:val="004F0E44"/>
    <w:rsid w:val="005058AE"/>
    <w:rsid w:val="00515830"/>
    <w:rsid w:val="005A350B"/>
    <w:rsid w:val="005D542D"/>
    <w:rsid w:val="005E1B56"/>
    <w:rsid w:val="0060036F"/>
    <w:rsid w:val="00626F7D"/>
    <w:rsid w:val="00655131"/>
    <w:rsid w:val="00670BC1"/>
    <w:rsid w:val="00673CA9"/>
    <w:rsid w:val="006D4D2A"/>
    <w:rsid w:val="006F0238"/>
    <w:rsid w:val="00701D64"/>
    <w:rsid w:val="00707981"/>
    <w:rsid w:val="00777E5E"/>
    <w:rsid w:val="00782B20"/>
    <w:rsid w:val="007B62B5"/>
    <w:rsid w:val="007C3C64"/>
    <w:rsid w:val="00804D11"/>
    <w:rsid w:val="00805829"/>
    <w:rsid w:val="00817DC5"/>
    <w:rsid w:val="00841033"/>
    <w:rsid w:val="00844118"/>
    <w:rsid w:val="00846540"/>
    <w:rsid w:val="00864579"/>
    <w:rsid w:val="0088697C"/>
    <w:rsid w:val="008B1D24"/>
    <w:rsid w:val="008E3BC3"/>
    <w:rsid w:val="00911715"/>
    <w:rsid w:val="0091685E"/>
    <w:rsid w:val="009777F2"/>
    <w:rsid w:val="009B714A"/>
    <w:rsid w:val="00A24E12"/>
    <w:rsid w:val="00A2745C"/>
    <w:rsid w:val="00A71CC6"/>
    <w:rsid w:val="00AF3C5C"/>
    <w:rsid w:val="00B51A14"/>
    <w:rsid w:val="00B52950"/>
    <w:rsid w:val="00B70430"/>
    <w:rsid w:val="00BA5465"/>
    <w:rsid w:val="00BC6390"/>
    <w:rsid w:val="00C2502A"/>
    <w:rsid w:val="00C45BF7"/>
    <w:rsid w:val="00C520A5"/>
    <w:rsid w:val="00C756A1"/>
    <w:rsid w:val="00C86FDE"/>
    <w:rsid w:val="00CD6F8F"/>
    <w:rsid w:val="00CE2C12"/>
    <w:rsid w:val="00CF7BC0"/>
    <w:rsid w:val="00D002CC"/>
    <w:rsid w:val="00D03636"/>
    <w:rsid w:val="00D50DF0"/>
    <w:rsid w:val="00D648E4"/>
    <w:rsid w:val="00D74129"/>
    <w:rsid w:val="00D7521D"/>
    <w:rsid w:val="00D7557F"/>
    <w:rsid w:val="00DA6F1A"/>
    <w:rsid w:val="00DB6F1E"/>
    <w:rsid w:val="00DC5683"/>
    <w:rsid w:val="00DF043B"/>
    <w:rsid w:val="00DF2594"/>
    <w:rsid w:val="00E16E4D"/>
    <w:rsid w:val="00E20250"/>
    <w:rsid w:val="00E5514B"/>
    <w:rsid w:val="00E86EAE"/>
    <w:rsid w:val="00EC2716"/>
    <w:rsid w:val="00EF0E1B"/>
    <w:rsid w:val="00F30F65"/>
    <w:rsid w:val="00FA6C1E"/>
    <w:rsid w:val="00FB0AA1"/>
    <w:rsid w:val="00FB0C96"/>
    <w:rsid w:val="00FC04A2"/>
    <w:rsid w:val="00FD59A4"/>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1C753"/>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ListParagraph">
    <w:name w:val="List Paragraph"/>
    <w:basedOn w:val="Normal"/>
    <w:uiPriority w:val="34"/>
    <w:qFormat/>
    <w:rsid w:val="005E1B56"/>
    <w:pPr>
      <w:ind w:left="720"/>
    </w:pPr>
  </w:style>
  <w:style w:type="paragraph" w:styleId="Revision">
    <w:name w:val="Revision"/>
    <w:hidden/>
    <w:uiPriority w:val="99"/>
    <w:semiHidden/>
    <w:rsid w:val="004475BD"/>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56</TotalTime>
  <Pages>4</Pages>
  <Words>856</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Alker, Craig</dc:creator>
  <dc:description>22.1.13</dc:description>
  <cp:lastModifiedBy>Gorman, Dave</cp:lastModifiedBy>
  <cp:revision>11</cp:revision>
  <cp:lastPrinted>2002-06-26T11:27:00Z</cp:lastPrinted>
  <dcterms:created xsi:type="dcterms:W3CDTF">2022-11-16T18:32:00Z</dcterms:created>
  <dcterms:modified xsi:type="dcterms:W3CDTF">2023-09-20T13:23:00Z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The Audit, Risk and Governance Committee</vt:lpwstr>
  </property>
  <property fmtid="{D5CDD505-2E9C-101B-9397-08002B2CF9AE}" pid="7" name="LeadDirector">
    <vt:lpwstr>Director of Law and Governance</vt:lpwstr>
  </property>
  <property fmtid="{D5CDD505-2E9C-101B-9397-08002B2CF9AE}" pid="8" name="LeadOfficer">
    <vt:lpwstr>Hannah Race</vt:lpwstr>
  </property>
  <property fmtid="{D5CDD505-2E9C-101B-9397-08002B2CF9AE}" pid="9" name="LeadOfficerEmail">
    <vt:lpwstr>Hannah.Race@lancashire.gov.uk</vt:lpwstr>
  </property>
  <property fmtid="{D5CDD505-2E9C-101B-9397-08002B2CF9AE}" pid="10" name="LeadOfficerTel">
    <vt:lpwstr/>
  </property>
  <property fmtid="{D5CDD505-2E9C-101B-9397-08002B2CF9AE}" pid="11" name="MeetingDate">
    <vt:lpwstr>Thursday, 12 October 2023</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N/A;</vt:lpwstr>
  </property>
</Properties>
</file>